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D8" w:rsidRDefault="00DC0873" w:rsidP="004132A5">
      <w:pPr>
        <w:jc w:val="center"/>
        <w:rPr>
          <w:rFonts w:ascii="Arial" w:hAnsi="Arial" w:cs="Arial"/>
          <w:b/>
          <w:bCs/>
        </w:rPr>
      </w:pPr>
      <w:bookmarkStart w:id="0" w:name="_GoBack"/>
      <w:bookmarkEnd w:id="0"/>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20955</wp:posOffset>
                </wp:positionV>
                <wp:extent cx="5286375" cy="2276475"/>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276475"/>
                        </a:xfrm>
                        <a:prstGeom prst="rect">
                          <a:avLst/>
                        </a:prstGeom>
                        <a:solidFill>
                          <a:srgbClr val="FFFFFF"/>
                        </a:solidFill>
                        <a:ln w="9525">
                          <a:solidFill>
                            <a:srgbClr val="000000"/>
                          </a:solidFill>
                          <a:miter lim="800000"/>
                          <a:headEnd/>
                          <a:tailEnd/>
                        </a:ln>
                      </wps:spPr>
                      <wps:txbx>
                        <w:txbxContent>
                          <w:p w:rsidR="005B19D8" w:rsidRPr="00812C7F" w:rsidRDefault="005B19D8" w:rsidP="004132A5">
                            <w:pPr>
                              <w:jc w:val="both"/>
                              <w:rPr>
                                <w:rFonts w:ascii="Arial" w:hAnsi="Arial" w:cs="Arial"/>
                                <w:b/>
                                <w:bCs/>
                                <w:sz w:val="24"/>
                                <w:szCs w:val="24"/>
                              </w:rPr>
                            </w:pPr>
                            <w:r w:rsidRPr="000F6A7B">
                              <w:rPr>
                                <w:rFonts w:ascii="Arial" w:hAnsi="Arial" w:cs="Arial"/>
                                <w:sz w:val="24"/>
                                <w:szCs w:val="24"/>
                              </w:rPr>
                              <w:t xml:space="preserve">This is an unofficial English translation of </w:t>
                            </w:r>
                            <w:r>
                              <w:rPr>
                                <w:rFonts w:ascii="Arial" w:hAnsi="Arial" w:cs="Arial"/>
                                <w:sz w:val="24"/>
                                <w:szCs w:val="24"/>
                              </w:rPr>
                              <w:t>Public Notice</w:t>
                            </w:r>
                            <w:r w:rsidRPr="000F6A7B">
                              <w:rPr>
                                <w:rFonts w:ascii="Arial" w:hAnsi="Arial" w:cs="Arial"/>
                                <w:sz w:val="24"/>
                                <w:szCs w:val="24"/>
                              </w:rPr>
                              <w:t xml:space="preserve"> on Matters Regarding Refining the Filing of Related Party Transactions and Administration of Contemporaneous Transfer Pricing Documentation</w:t>
                            </w:r>
                            <w:r>
                              <w:rPr>
                                <w:rFonts w:ascii="Arial" w:hAnsi="Arial" w:cs="Arial"/>
                                <w:sz w:val="24"/>
                                <w:szCs w:val="24"/>
                              </w:rPr>
                              <w:t xml:space="preserve"> (Public Notice</w:t>
                            </w:r>
                            <w:r w:rsidRPr="00812C7F">
                              <w:rPr>
                                <w:rFonts w:ascii="Arial" w:hAnsi="Arial" w:cs="Arial"/>
                                <w:sz w:val="24"/>
                                <w:szCs w:val="24"/>
                              </w:rPr>
                              <w:t xml:space="preserve"> of the State Administration of Taxation [2016] 42).</w:t>
                            </w:r>
                            <w:r>
                              <w:rPr>
                                <w:rFonts w:ascii="Arial" w:hAnsi="Arial" w:cs="Arial"/>
                                <w:b/>
                                <w:bCs/>
                                <w:sz w:val="24"/>
                                <w:szCs w:val="24"/>
                              </w:rPr>
                              <w:t xml:space="preserve"> </w:t>
                            </w:r>
                            <w:r w:rsidRPr="000F6A7B">
                              <w:rPr>
                                <w:rFonts w:ascii="Arial" w:hAnsi="Arial" w:cs="Arial"/>
                                <w:sz w:val="24"/>
                                <w:szCs w:val="24"/>
                              </w:rPr>
                              <w:t xml:space="preserve">In the case the unofficial English translation conflicts with the content in the original </w:t>
                            </w:r>
                            <w:r>
                              <w:rPr>
                                <w:rFonts w:ascii="Arial" w:hAnsi="Arial" w:cs="Arial"/>
                                <w:sz w:val="24"/>
                                <w:szCs w:val="24"/>
                              </w:rPr>
                              <w:t>Public Notice</w:t>
                            </w:r>
                            <w:r w:rsidRPr="000F6A7B">
                              <w:rPr>
                                <w:rFonts w:ascii="Arial" w:hAnsi="Arial" w:cs="Arial"/>
                                <w:sz w:val="24"/>
                                <w:szCs w:val="24"/>
                              </w:rPr>
                              <w:t xml:space="preserve"> in Chinese, the </w:t>
                            </w:r>
                            <w:r>
                              <w:rPr>
                                <w:rFonts w:ascii="Arial" w:hAnsi="Arial" w:cs="Arial"/>
                                <w:sz w:val="24"/>
                                <w:szCs w:val="24"/>
                              </w:rPr>
                              <w:t>Public Notice</w:t>
                            </w:r>
                            <w:r w:rsidRPr="000F6A7B">
                              <w:rPr>
                                <w:rFonts w:ascii="Arial" w:hAnsi="Arial" w:cs="Arial"/>
                                <w:sz w:val="24"/>
                                <w:szCs w:val="24"/>
                              </w:rPr>
                              <w:t xml:space="preserve"> in Chinese shall prevail. </w:t>
                            </w:r>
                          </w:p>
                          <w:p w:rsidR="005B19D8" w:rsidRPr="006D087B" w:rsidRDefault="005B19D8" w:rsidP="004132A5">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65pt;width:416.25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">
                <v:textbox>
                  <w:txbxContent>
                    <w:p w:rsidR="005B19D8" w:rsidRPr="00812C7F" w:rsidRDefault="005B19D8" w:rsidP="004132A5">
                      <w:pPr>
                        <w:jc w:val="both"/>
                        <w:rPr>
                          <w:rFonts w:ascii="Arial" w:hAnsi="Arial" w:cs="Arial"/>
                          <w:b/>
                          <w:bCs/>
                          <w:sz w:val="24"/>
                          <w:szCs w:val="24"/>
                        </w:rPr>
                      </w:pPr>
                      <w:r w:rsidRPr="000F6A7B">
                        <w:rPr>
                          <w:rFonts w:ascii="Arial" w:hAnsi="Arial" w:cs="Arial"/>
                          <w:sz w:val="24"/>
                          <w:szCs w:val="24"/>
                        </w:rPr>
                        <w:t xml:space="preserve">This is an unofficial English translation of </w:t>
                      </w:r>
                      <w:r>
                        <w:rPr>
                          <w:rFonts w:ascii="Arial" w:hAnsi="Arial" w:cs="Arial"/>
                          <w:sz w:val="24"/>
                          <w:szCs w:val="24"/>
                        </w:rPr>
                        <w:t>Public Notice</w:t>
                      </w:r>
                      <w:r w:rsidRPr="000F6A7B">
                        <w:rPr>
                          <w:rFonts w:ascii="Arial" w:hAnsi="Arial" w:cs="Arial"/>
                          <w:sz w:val="24"/>
                          <w:szCs w:val="24"/>
                        </w:rPr>
                        <w:t xml:space="preserve"> on Matters Regarding Refining the Filing of Related Party Transactions and Administration of Contemporaneous Transfer Pricing Documentation</w:t>
                      </w:r>
                      <w:r>
                        <w:rPr>
                          <w:rFonts w:ascii="Arial" w:hAnsi="Arial" w:cs="Arial"/>
                          <w:sz w:val="24"/>
                          <w:szCs w:val="24"/>
                        </w:rPr>
                        <w:t xml:space="preserve"> (Public Notice</w:t>
                      </w:r>
                      <w:r w:rsidRPr="00812C7F">
                        <w:rPr>
                          <w:rFonts w:ascii="Arial" w:hAnsi="Arial" w:cs="Arial"/>
                          <w:sz w:val="24"/>
                          <w:szCs w:val="24"/>
                        </w:rPr>
                        <w:t xml:space="preserve"> of the State Administration of Taxation [2016] 42).</w:t>
                      </w:r>
                      <w:r>
                        <w:rPr>
                          <w:rFonts w:ascii="Arial" w:hAnsi="Arial" w:cs="Arial"/>
                          <w:b/>
                          <w:bCs/>
                          <w:sz w:val="24"/>
                          <w:szCs w:val="24"/>
                        </w:rPr>
                        <w:t xml:space="preserve"> </w:t>
                      </w:r>
                      <w:r w:rsidRPr="000F6A7B">
                        <w:rPr>
                          <w:rFonts w:ascii="Arial" w:hAnsi="Arial" w:cs="Arial"/>
                          <w:sz w:val="24"/>
                          <w:szCs w:val="24"/>
                        </w:rPr>
                        <w:t xml:space="preserve">In the case the unofficial English translation conflicts with the content in the original </w:t>
                      </w:r>
                      <w:r>
                        <w:rPr>
                          <w:rFonts w:ascii="Arial" w:hAnsi="Arial" w:cs="Arial"/>
                          <w:sz w:val="24"/>
                          <w:szCs w:val="24"/>
                        </w:rPr>
                        <w:t>Public Notice</w:t>
                      </w:r>
                      <w:r w:rsidRPr="000F6A7B">
                        <w:rPr>
                          <w:rFonts w:ascii="Arial" w:hAnsi="Arial" w:cs="Arial"/>
                          <w:sz w:val="24"/>
                          <w:szCs w:val="24"/>
                        </w:rPr>
                        <w:t xml:space="preserve"> in Chinese, the </w:t>
                      </w:r>
                      <w:r>
                        <w:rPr>
                          <w:rFonts w:ascii="Arial" w:hAnsi="Arial" w:cs="Arial"/>
                          <w:sz w:val="24"/>
                          <w:szCs w:val="24"/>
                        </w:rPr>
                        <w:t>Public Notice</w:t>
                      </w:r>
                      <w:r w:rsidRPr="000F6A7B">
                        <w:rPr>
                          <w:rFonts w:ascii="Arial" w:hAnsi="Arial" w:cs="Arial"/>
                          <w:sz w:val="24"/>
                          <w:szCs w:val="24"/>
                        </w:rPr>
                        <w:t xml:space="preserve"> in Chinese shall prevail. </w:t>
                      </w:r>
                    </w:p>
                    <w:p w:rsidR="005B19D8" w:rsidRPr="006D087B" w:rsidRDefault="005B19D8" w:rsidP="004132A5">
                      <w:pPr>
                        <w:rPr>
                          <w:rFonts w:ascii="Arial" w:hAnsi="Arial" w:cs="Arial"/>
                          <w:sz w:val="18"/>
                          <w:szCs w:val="18"/>
                        </w:rPr>
                      </w:pPr>
                    </w:p>
                  </w:txbxContent>
                </v:textbox>
              </v:shape>
            </w:pict>
          </mc:Fallback>
        </mc:AlternateContent>
      </w:r>
    </w:p>
    <w:p w:rsidR="005B19D8" w:rsidRDefault="005B19D8" w:rsidP="004132A5">
      <w:pPr>
        <w:jc w:val="center"/>
        <w:rPr>
          <w:rFonts w:ascii="Arial" w:hAnsi="Arial" w:cs="Arial"/>
          <w:b/>
          <w:bCs/>
        </w:rPr>
      </w:pPr>
    </w:p>
    <w:p w:rsidR="005B19D8" w:rsidRDefault="005B19D8" w:rsidP="004132A5">
      <w:pPr>
        <w:jc w:val="center"/>
        <w:rPr>
          <w:rFonts w:ascii="Arial" w:hAnsi="Arial" w:cs="Arial"/>
          <w:b/>
          <w:bCs/>
        </w:rPr>
      </w:pPr>
    </w:p>
    <w:p w:rsidR="005B19D8" w:rsidRDefault="005B19D8" w:rsidP="004132A5">
      <w:pPr>
        <w:jc w:val="center"/>
        <w:rPr>
          <w:rFonts w:ascii="Arial" w:hAnsi="Arial" w:cs="Arial"/>
          <w:b/>
          <w:bCs/>
        </w:rPr>
      </w:pPr>
    </w:p>
    <w:p w:rsidR="005B19D8" w:rsidRDefault="005B19D8" w:rsidP="004132A5">
      <w:pPr>
        <w:jc w:val="center"/>
        <w:rPr>
          <w:rFonts w:ascii="Arial" w:hAnsi="Arial" w:cs="Arial"/>
          <w:b/>
          <w:bCs/>
        </w:rPr>
      </w:pPr>
    </w:p>
    <w:p w:rsidR="005B19D8" w:rsidRDefault="005B19D8" w:rsidP="004132A5">
      <w:pPr>
        <w:jc w:val="center"/>
        <w:rPr>
          <w:rFonts w:ascii="Arial" w:hAnsi="Arial" w:cs="Arial"/>
          <w:b/>
          <w:bCs/>
        </w:rPr>
      </w:pPr>
    </w:p>
    <w:p w:rsidR="005B19D8" w:rsidRDefault="005B19D8" w:rsidP="004132A5">
      <w:pPr>
        <w:jc w:val="center"/>
        <w:rPr>
          <w:rFonts w:ascii="Arial" w:hAnsi="Arial" w:cs="Arial"/>
          <w:b/>
          <w:bCs/>
        </w:rPr>
      </w:pPr>
    </w:p>
    <w:p w:rsidR="005B19D8" w:rsidRDefault="005B19D8" w:rsidP="004132A5">
      <w:pPr>
        <w:jc w:val="center"/>
        <w:rPr>
          <w:rFonts w:ascii="Arial" w:hAnsi="Arial" w:cs="Arial"/>
          <w:b/>
          <w:bCs/>
        </w:rPr>
      </w:pPr>
    </w:p>
    <w:p w:rsidR="005B19D8" w:rsidRDefault="005B19D8" w:rsidP="004132A5">
      <w:pPr>
        <w:jc w:val="center"/>
        <w:rPr>
          <w:rFonts w:ascii="Arial" w:hAnsi="Arial" w:cs="Arial"/>
          <w:b/>
          <w:bCs/>
        </w:rPr>
      </w:pPr>
      <w:r>
        <w:rPr>
          <w:rFonts w:ascii="Arial" w:hAnsi="Arial" w:cs="Arial"/>
          <w:b/>
          <w:bCs/>
        </w:rPr>
        <w:t>Public Notice</w:t>
      </w:r>
      <w:r w:rsidRPr="009547D4">
        <w:rPr>
          <w:rFonts w:ascii="Arial" w:hAnsi="Arial" w:cs="Arial"/>
          <w:b/>
          <w:bCs/>
        </w:rPr>
        <w:t xml:space="preserve"> on Matters </w:t>
      </w:r>
      <w:r>
        <w:rPr>
          <w:rFonts w:ascii="Arial" w:hAnsi="Arial" w:cs="Arial"/>
          <w:b/>
          <w:bCs/>
        </w:rPr>
        <w:t>Regarding</w:t>
      </w:r>
      <w:r w:rsidRPr="009547D4">
        <w:rPr>
          <w:rFonts w:ascii="Arial" w:hAnsi="Arial" w:cs="Arial"/>
          <w:b/>
          <w:bCs/>
        </w:rPr>
        <w:t xml:space="preserve"> </w:t>
      </w:r>
      <w:r>
        <w:rPr>
          <w:rFonts w:ascii="Arial" w:hAnsi="Arial" w:cs="Arial"/>
          <w:b/>
          <w:bCs/>
        </w:rPr>
        <w:t>Refining</w:t>
      </w:r>
      <w:r w:rsidRPr="009547D4">
        <w:rPr>
          <w:rFonts w:ascii="Arial" w:hAnsi="Arial" w:cs="Arial"/>
          <w:b/>
          <w:bCs/>
        </w:rPr>
        <w:t xml:space="preserve"> the </w:t>
      </w:r>
      <w:r>
        <w:rPr>
          <w:rFonts w:ascii="Arial" w:hAnsi="Arial" w:cs="Arial"/>
          <w:b/>
          <w:bCs/>
        </w:rPr>
        <w:t>Filing</w:t>
      </w:r>
      <w:r w:rsidRPr="009547D4">
        <w:rPr>
          <w:rFonts w:ascii="Arial" w:hAnsi="Arial" w:cs="Arial"/>
          <w:b/>
          <w:bCs/>
        </w:rPr>
        <w:t xml:space="preserve"> of Related Party Transactions and Administration of </w:t>
      </w:r>
      <w:r>
        <w:rPr>
          <w:rFonts w:ascii="Arial" w:hAnsi="Arial" w:cs="Arial"/>
          <w:b/>
          <w:bCs/>
        </w:rPr>
        <w:t>Contemporaneous Transfer Pricing</w:t>
      </w:r>
      <w:r w:rsidRPr="009547D4">
        <w:rPr>
          <w:rFonts w:ascii="Arial" w:hAnsi="Arial" w:cs="Arial"/>
          <w:b/>
          <w:bCs/>
        </w:rPr>
        <w:t xml:space="preserve"> Documentation</w:t>
      </w:r>
    </w:p>
    <w:p w:rsidR="005B19D8" w:rsidRPr="009547D4" w:rsidRDefault="005B19D8" w:rsidP="004132A5">
      <w:pPr>
        <w:jc w:val="center"/>
        <w:rPr>
          <w:rFonts w:ascii="Arial" w:hAnsi="Arial" w:cs="Arial"/>
          <w:b/>
          <w:bCs/>
        </w:rPr>
      </w:pPr>
      <w:r>
        <w:rPr>
          <w:rFonts w:ascii="Arial" w:hAnsi="Arial" w:cs="Arial"/>
          <w:b/>
          <w:bCs/>
        </w:rPr>
        <w:t>Public Notice of the State Administration of Taxation [2016] 42</w:t>
      </w:r>
    </w:p>
    <w:p w:rsidR="005B19D8" w:rsidRPr="0046251A" w:rsidRDefault="005B19D8" w:rsidP="004132A5">
      <w:pPr>
        <w:jc w:val="both"/>
        <w:rPr>
          <w:rFonts w:ascii="Arial" w:hAnsi="Arial" w:cs="Arial"/>
        </w:rPr>
      </w:pPr>
      <w:r>
        <w:rPr>
          <w:rFonts w:ascii="Arial" w:hAnsi="Arial" w:cs="Arial"/>
        </w:rPr>
        <w:t>T</w:t>
      </w:r>
      <w:r w:rsidRPr="00011C9E">
        <w:rPr>
          <w:rFonts w:ascii="Arial" w:hAnsi="Arial" w:cs="Arial"/>
        </w:rPr>
        <w:t xml:space="preserve">o </w:t>
      </w:r>
      <w:r>
        <w:rPr>
          <w:rFonts w:ascii="Arial" w:hAnsi="Arial" w:cs="Arial"/>
        </w:rPr>
        <w:t>refine</w:t>
      </w:r>
      <w:r w:rsidRPr="00011C9E">
        <w:rPr>
          <w:rFonts w:ascii="Arial" w:hAnsi="Arial" w:cs="Arial"/>
        </w:rPr>
        <w:t xml:space="preserve"> the </w:t>
      </w:r>
      <w:r>
        <w:rPr>
          <w:rFonts w:ascii="Arial" w:hAnsi="Arial" w:cs="Arial"/>
        </w:rPr>
        <w:t>filing</w:t>
      </w:r>
      <w:r w:rsidRPr="00011C9E">
        <w:rPr>
          <w:rFonts w:ascii="Arial" w:hAnsi="Arial" w:cs="Arial"/>
        </w:rPr>
        <w:t xml:space="preserve"> of related party transactions and the administration of contemporaneous </w:t>
      </w:r>
      <w:r>
        <w:rPr>
          <w:rFonts w:ascii="Arial" w:hAnsi="Arial" w:cs="Arial"/>
        </w:rPr>
        <w:t xml:space="preserve">transfer pricing </w:t>
      </w:r>
      <w:r w:rsidRPr="00011C9E">
        <w:rPr>
          <w:rFonts w:ascii="Arial" w:hAnsi="Arial" w:cs="Arial"/>
        </w:rPr>
        <w:t>documentation</w:t>
      </w:r>
      <w:r>
        <w:rPr>
          <w:rFonts w:ascii="Arial" w:hAnsi="Arial" w:cs="Arial"/>
        </w:rPr>
        <w:t xml:space="preserve"> (hereinafter referred to as the “contemporaneous documentation”), the Public Notice is hereby issued  in accordance with the relevant provisions of </w:t>
      </w:r>
      <w:r w:rsidRPr="00011C9E">
        <w:rPr>
          <w:rFonts w:ascii="Arial" w:hAnsi="Arial" w:cs="Arial"/>
        </w:rPr>
        <w:t>“</w:t>
      </w:r>
      <w:r>
        <w:rPr>
          <w:rFonts w:ascii="Arial" w:hAnsi="Arial" w:cs="Arial"/>
        </w:rPr>
        <w:t>Enterprise</w:t>
      </w:r>
      <w:r w:rsidRPr="00011C9E">
        <w:rPr>
          <w:rFonts w:ascii="Arial" w:hAnsi="Arial" w:cs="Arial"/>
        </w:rPr>
        <w:t xml:space="preserve"> Income Tax Law of the People’s Republic of China” (hereinafter referred to as the “</w:t>
      </w:r>
      <w:r>
        <w:rPr>
          <w:rFonts w:ascii="Arial" w:hAnsi="Arial" w:cs="Arial"/>
        </w:rPr>
        <w:t>Enterprise</w:t>
      </w:r>
      <w:r w:rsidRPr="00011C9E">
        <w:rPr>
          <w:rFonts w:ascii="Arial" w:hAnsi="Arial" w:cs="Arial"/>
        </w:rPr>
        <w:t xml:space="preserve"> Income Tax Law”) and</w:t>
      </w:r>
      <w:r>
        <w:rPr>
          <w:rFonts w:ascii="Arial" w:hAnsi="Arial" w:cs="Arial"/>
        </w:rPr>
        <w:t xml:space="preserve"> its implementation regulations, and</w:t>
      </w:r>
      <w:r w:rsidRPr="00011C9E">
        <w:rPr>
          <w:rFonts w:ascii="Arial" w:hAnsi="Arial" w:cs="Arial"/>
        </w:rPr>
        <w:t xml:space="preserve"> “The Tax Collection and Administration</w:t>
      </w:r>
      <w:r>
        <w:rPr>
          <w:rFonts w:ascii="Arial" w:hAnsi="Arial" w:cs="Arial"/>
        </w:rPr>
        <w:t xml:space="preserve"> </w:t>
      </w:r>
      <w:r w:rsidRPr="00011C9E">
        <w:rPr>
          <w:rFonts w:ascii="Arial" w:hAnsi="Arial" w:cs="Arial"/>
        </w:rPr>
        <w:t xml:space="preserve">Law of the People’s Republic of China” (hereinafter referred to as the “Tax Collection </w:t>
      </w:r>
      <w:r>
        <w:rPr>
          <w:rFonts w:ascii="Arial" w:hAnsi="Arial" w:cs="Arial"/>
        </w:rPr>
        <w:t xml:space="preserve">and Administration </w:t>
      </w:r>
      <w:r w:rsidRPr="00011C9E">
        <w:rPr>
          <w:rFonts w:ascii="Arial" w:hAnsi="Arial" w:cs="Arial"/>
        </w:rPr>
        <w:t xml:space="preserve">Law”) and its </w:t>
      </w:r>
      <w:r>
        <w:rPr>
          <w:rFonts w:ascii="Arial" w:eastAsia="Times New Roman" w:hAnsi="Arial" w:cs="Times New Roman"/>
          <w:spacing w:val="-1"/>
        </w:rPr>
        <w:t xml:space="preserve">implementation </w:t>
      </w:r>
      <w:r w:rsidRPr="00011C9E">
        <w:rPr>
          <w:rFonts w:ascii="Arial" w:eastAsia="Times New Roman" w:hAnsi="Arial" w:cs="Times New Roman"/>
          <w:spacing w:val="-1"/>
        </w:rPr>
        <w:t>regulations</w:t>
      </w:r>
      <w:r>
        <w:rPr>
          <w:rFonts w:ascii="Arial" w:hAnsi="Arial" w:cs="Arial"/>
          <w:spacing w:val="-1"/>
        </w:rPr>
        <w:t>.</w:t>
      </w:r>
    </w:p>
    <w:p w:rsidR="005B19D8" w:rsidRDefault="005B19D8" w:rsidP="00EC42C0">
      <w:pPr>
        <w:pStyle w:val="ListParagraph"/>
        <w:numPr>
          <w:ilvl w:val="0"/>
          <w:numId w:val="15"/>
        </w:numPr>
        <w:ind w:left="426" w:hanging="426"/>
        <w:jc w:val="both"/>
        <w:rPr>
          <w:rFonts w:ascii="Arial" w:hAnsi="Arial" w:cs="Arial"/>
        </w:rPr>
      </w:pPr>
      <w:r w:rsidRPr="002D59C2">
        <w:rPr>
          <w:rFonts w:ascii="Arial" w:hAnsi="Arial" w:cs="Arial"/>
        </w:rPr>
        <w:t xml:space="preserve">A tax resident enterprise </w:t>
      </w:r>
      <w:r>
        <w:rPr>
          <w:rFonts w:ascii="Arial" w:hAnsi="Arial" w:cs="Arial"/>
        </w:rPr>
        <w:t>that</w:t>
      </w:r>
      <w:r w:rsidRPr="002D59C2">
        <w:rPr>
          <w:rFonts w:ascii="Arial" w:hAnsi="Arial" w:cs="Arial"/>
        </w:rPr>
        <w:t xml:space="preserve"> pays </w:t>
      </w:r>
      <w:r>
        <w:rPr>
          <w:rFonts w:ascii="Arial" w:hAnsi="Arial" w:cs="Arial"/>
        </w:rPr>
        <w:t>Enterprise</w:t>
      </w:r>
      <w:r w:rsidRPr="002D59C2">
        <w:rPr>
          <w:rFonts w:ascii="Arial" w:hAnsi="Arial" w:cs="Arial"/>
        </w:rPr>
        <w:t xml:space="preserve"> Income Tax according to its financial records and a non-tax resident enterprise </w:t>
      </w:r>
      <w:r>
        <w:rPr>
          <w:rFonts w:ascii="Arial" w:hAnsi="Arial" w:cs="Arial"/>
        </w:rPr>
        <w:t>that</w:t>
      </w:r>
      <w:r w:rsidRPr="002D59C2">
        <w:rPr>
          <w:rFonts w:ascii="Arial" w:hAnsi="Arial" w:cs="Arial"/>
        </w:rPr>
        <w:t xml:space="preserve"> has an establishment or a place of business in China </w:t>
      </w:r>
      <w:r>
        <w:rPr>
          <w:rFonts w:ascii="Arial" w:hAnsi="Arial" w:cs="Arial"/>
        </w:rPr>
        <w:t>and</w:t>
      </w:r>
      <w:r w:rsidRPr="002D59C2">
        <w:rPr>
          <w:rFonts w:ascii="Arial" w:hAnsi="Arial" w:cs="Arial"/>
        </w:rPr>
        <w:t xml:space="preserve"> settles Corporate Income Tax based on its actual </w:t>
      </w:r>
      <w:r w:rsidRPr="00F73AAD">
        <w:rPr>
          <w:rFonts w:ascii="Arial" w:hAnsi="Arial" w:cs="Arial"/>
        </w:rPr>
        <w:t>accounts</w:t>
      </w:r>
      <w:r w:rsidRPr="002D59C2">
        <w:rPr>
          <w:rFonts w:ascii="Arial" w:hAnsi="Arial" w:cs="Arial"/>
        </w:rPr>
        <w:t xml:space="preserve">  shall, at the time of submitting its annual </w:t>
      </w:r>
      <w:r>
        <w:rPr>
          <w:rFonts w:ascii="Arial" w:hAnsi="Arial" w:cs="Arial"/>
        </w:rPr>
        <w:t>Enterprise Income Tax return, report related party transactions based on its dealings with related parties, and file</w:t>
      </w:r>
      <w:r w:rsidRPr="002D59C2">
        <w:rPr>
          <w:rFonts w:ascii="Arial" w:hAnsi="Arial" w:cs="Arial"/>
        </w:rPr>
        <w:t xml:space="preserve"> the </w:t>
      </w:r>
      <w:r w:rsidRPr="00EF70BE">
        <w:rPr>
          <w:rFonts w:ascii="Arial" w:hAnsi="Arial" w:cs="Arial"/>
        </w:rPr>
        <w:t>“</w:t>
      </w:r>
      <w:r w:rsidRPr="003911F0">
        <w:rPr>
          <w:rFonts w:ascii="Arial" w:hAnsi="Arial" w:cs="Arial"/>
        </w:rPr>
        <w:t xml:space="preserve">People’s Republic of China </w:t>
      </w:r>
      <w:r>
        <w:rPr>
          <w:rFonts w:ascii="Arial" w:hAnsi="Arial" w:cs="Arial"/>
        </w:rPr>
        <w:t xml:space="preserve">Enterprise Annual Reporting Forms for </w:t>
      </w:r>
      <w:r w:rsidRPr="003911F0">
        <w:rPr>
          <w:rFonts w:ascii="Arial" w:hAnsi="Arial" w:cs="Arial"/>
        </w:rPr>
        <w:t xml:space="preserve">Related-Party </w:t>
      </w:r>
      <w:r>
        <w:rPr>
          <w:rFonts w:ascii="Arial" w:hAnsi="Arial" w:cs="Arial"/>
        </w:rPr>
        <w:t>Transactions (2016 version)</w:t>
      </w:r>
      <w:r w:rsidRPr="002D59C2">
        <w:rPr>
          <w:rFonts w:ascii="Arial" w:hAnsi="Arial" w:cs="Arial"/>
        </w:rPr>
        <w:t>”.</w:t>
      </w:r>
    </w:p>
    <w:p w:rsidR="005B19D8" w:rsidRDefault="005B19D8" w:rsidP="004132A5">
      <w:pPr>
        <w:pStyle w:val="ListParagraph"/>
        <w:ind w:left="426"/>
        <w:jc w:val="both"/>
        <w:rPr>
          <w:rFonts w:ascii="Arial" w:hAnsi="Arial" w:cs="Arial"/>
        </w:rPr>
      </w:pPr>
    </w:p>
    <w:p w:rsidR="005B19D8" w:rsidRPr="009D301C" w:rsidRDefault="005B19D8" w:rsidP="00EC42C0">
      <w:pPr>
        <w:pStyle w:val="ListParagraph"/>
        <w:numPr>
          <w:ilvl w:val="0"/>
          <w:numId w:val="15"/>
        </w:numPr>
        <w:ind w:left="426" w:hanging="426"/>
        <w:jc w:val="both"/>
        <w:rPr>
          <w:rFonts w:ascii="Arial" w:hAnsi="Arial" w:cs="Arial"/>
        </w:rPr>
      </w:pPr>
      <w:r>
        <w:rPr>
          <w:rFonts w:ascii="Arial" w:hAnsi="Arial" w:cs="Arial"/>
        </w:rPr>
        <w:t xml:space="preserve">Any of the following relationships of an enterprise (one party) with other enterprises, organisations or individuals (the other party) shall constitute a “related party relationship” as stipulated in this Public Notice : </w:t>
      </w:r>
    </w:p>
    <w:p w:rsidR="005B19D8" w:rsidRDefault="005B19D8" w:rsidP="004132A5">
      <w:pPr>
        <w:pStyle w:val="ListParagraph"/>
        <w:spacing w:before="240" w:after="0" w:line="240" w:lineRule="auto"/>
        <w:ind w:left="1080"/>
        <w:jc w:val="both"/>
        <w:rPr>
          <w:rFonts w:ascii="Arial" w:hAnsi="Arial" w:cs="Arial"/>
        </w:rPr>
      </w:pPr>
    </w:p>
    <w:p w:rsidR="005B19D8" w:rsidRDefault="005B19D8" w:rsidP="00EC42C0">
      <w:pPr>
        <w:pStyle w:val="ListParagraph"/>
        <w:numPr>
          <w:ilvl w:val="0"/>
          <w:numId w:val="16"/>
        </w:numPr>
        <w:spacing w:before="240" w:after="0" w:line="240" w:lineRule="auto"/>
        <w:ind w:left="851" w:hanging="425"/>
        <w:jc w:val="both"/>
        <w:rPr>
          <w:rFonts w:ascii="Arial" w:hAnsi="Arial" w:cs="Arial"/>
        </w:rPr>
      </w:pPr>
      <w:r w:rsidRPr="00637752">
        <w:rPr>
          <w:rFonts w:ascii="Arial" w:hAnsi="Arial" w:cs="Arial"/>
        </w:rPr>
        <w:t>One party directly or indirectly owns 25%</w:t>
      </w:r>
      <w:r>
        <w:rPr>
          <w:rFonts w:ascii="Arial" w:hAnsi="Arial" w:cs="Arial"/>
        </w:rPr>
        <w:t xml:space="preserve"> or more</w:t>
      </w:r>
      <w:r w:rsidRPr="00637752">
        <w:rPr>
          <w:rFonts w:ascii="Arial" w:hAnsi="Arial" w:cs="Arial"/>
        </w:rPr>
        <w:t xml:space="preserve"> shares of the other party; or a common third party directly or indirectly owns 25%</w:t>
      </w:r>
      <w:r>
        <w:rPr>
          <w:rFonts w:ascii="Arial" w:hAnsi="Arial" w:cs="Arial"/>
        </w:rPr>
        <w:t xml:space="preserve"> or more</w:t>
      </w:r>
      <w:r w:rsidRPr="00637752">
        <w:rPr>
          <w:rFonts w:ascii="Arial" w:hAnsi="Arial" w:cs="Arial"/>
        </w:rPr>
        <w:t xml:space="preserve"> of shares of both parties. </w:t>
      </w:r>
    </w:p>
    <w:p w:rsidR="005B19D8" w:rsidRDefault="005B19D8" w:rsidP="004132A5">
      <w:pPr>
        <w:pStyle w:val="ListParagraph"/>
        <w:spacing w:before="240" w:after="0" w:line="240" w:lineRule="auto"/>
        <w:ind w:left="851"/>
        <w:jc w:val="both"/>
        <w:rPr>
          <w:rFonts w:ascii="Arial" w:hAnsi="Arial" w:cs="Arial"/>
        </w:rPr>
      </w:pPr>
    </w:p>
    <w:p w:rsidR="005B19D8" w:rsidRDefault="005B19D8" w:rsidP="004132A5">
      <w:pPr>
        <w:pStyle w:val="ListParagraph"/>
        <w:spacing w:before="240" w:after="0" w:line="240" w:lineRule="auto"/>
        <w:ind w:left="851"/>
        <w:jc w:val="both"/>
        <w:rPr>
          <w:rFonts w:ascii="Arial" w:hAnsi="Arial" w:cs="Arial"/>
        </w:rPr>
      </w:pPr>
      <w:r>
        <w:rPr>
          <w:rFonts w:ascii="Arial" w:hAnsi="Arial" w:cs="Arial"/>
        </w:rPr>
        <w:lastRenderedPageBreak/>
        <w:t xml:space="preserve">Where </w:t>
      </w:r>
      <w:r w:rsidRPr="005A0ABB">
        <w:rPr>
          <w:rFonts w:ascii="Arial" w:hAnsi="Arial" w:cs="Arial"/>
        </w:rPr>
        <w:t xml:space="preserve">one party indirectly </w:t>
      </w:r>
      <w:r>
        <w:rPr>
          <w:rFonts w:ascii="Arial" w:hAnsi="Arial" w:cs="Arial"/>
        </w:rPr>
        <w:t>holds</w:t>
      </w:r>
      <w:r w:rsidRPr="005A0ABB">
        <w:rPr>
          <w:rFonts w:ascii="Arial" w:hAnsi="Arial" w:cs="Arial"/>
        </w:rPr>
        <w:t xml:space="preserve"> the other party’s shares through an intermediate party, </w:t>
      </w:r>
      <w:r>
        <w:rPr>
          <w:rFonts w:ascii="Arial" w:hAnsi="Arial" w:cs="Arial"/>
        </w:rPr>
        <w:t>so</w:t>
      </w:r>
      <w:r w:rsidRPr="005A0ABB">
        <w:rPr>
          <w:rFonts w:ascii="Arial" w:hAnsi="Arial" w:cs="Arial"/>
        </w:rPr>
        <w:t xml:space="preserve"> long as it owns </w:t>
      </w:r>
      <w:r>
        <w:rPr>
          <w:rFonts w:ascii="Arial" w:hAnsi="Arial" w:cs="Arial"/>
        </w:rPr>
        <w:t xml:space="preserve">25% or more </w:t>
      </w:r>
      <w:r w:rsidRPr="005A0ABB">
        <w:rPr>
          <w:rFonts w:ascii="Arial" w:hAnsi="Arial" w:cs="Arial"/>
        </w:rPr>
        <w:t xml:space="preserve">shares of the intermediate party, the percentage of the other party’s shares held by </w:t>
      </w:r>
      <w:r>
        <w:rPr>
          <w:rFonts w:ascii="Arial" w:hAnsi="Arial" w:cs="Arial"/>
        </w:rPr>
        <w:t xml:space="preserve">it is equal to </w:t>
      </w:r>
      <w:r w:rsidRPr="005A0ABB">
        <w:rPr>
          <w:rFonts w:ascii="Arial" w:hAnsi="Arial" w:cs="Arial"/>
        </w:rPr>
        <w:t>the percentage of the other party’s shares</w:t>
      </w:r>
      <w:r>
        <w:rPr>
          <w:rFonts w:ascii="Arial" w:hAnsi="Arial" w:cs="Arial"/>
        </w:rPr>
        <w:t xml:space="preserve"> held by the intermediate party. </w:t>
      </w:r>
    </w:p>
    <w:p w:rsidR="005B19D8" w:rsidRDefault="005B19D8" w:rsidP="004132A5">
      <w:pPr>
        <w:pStyle w:val="ListParagraph"/>
        <w:spacing w:before="240" w:after="0" w:line="240" w:lineRule="auto"/>
        <w:ind w:left="851"/>
        <w:jc w:val="both"/>
        <w:rPr>
          <w:rFonts w:ascii="Arial" w:hAnsi="Arial" w:cs="Arial"/>
        </w:rPr>
      </w:pPr>
    </w:p>
    <w:p w:rsidR="005B19D8" w:rsidRPr="005A0ABB" w:rsidRDefault="005B19D8" w:rsidP="004132A5">
      <w:pPr>
        <w:pStyle w:val="ListParagraph"/>
        <w:spacing w:before="240" w:after="0" w:line="240" w:lineRule="auto"/>
        <w:ind w:left="851"/>
        <w:jc w:val="both"/>
        <w:rPr>
          <w:rFonts w:ascii="Arial" w:hAnsi="Arial" w:cs="Arial"/>
        </w:rPr>
      </w:pPr>
      <w:r>
        <w:rPr>
          <w:rFonts w:ascii="Arial" w:hAnsi="Arial" w:cs="Arial"/>
        </w:rPr>
        <w:t>Where</w:t>
      </w:r>
      <w:r w:rsidRPr="005A0ABB">
        <w:rPr>
          <w:rFonts w:ascii="Arial" w:hAnsi="Arial" w:cs="Arial"/>
        </w:rPr>
        <w:t xml:space="preserve"> two or more natural persons, who are</w:t>
      </w:r>
      <w:r w:rsidRPr="00ED359D">
        <w:rPr>
          <w:rFonts w:ascii="Arial" w:hAnsi="Arial" w:cs="Arial"/>
        </w:rPr>
        <w:t xml:space="preserve"> spouses, related by lineal consanguinity, siblings, or in other custodianship/family maintenance relationships, hold the shares of a same enterprise, the percentage of shares held by them shall be aggregated in the cal</w:t>
      </w:r>
      <w:r w:rsidRPr="005A0ABB">
        <w:rPr>
          <w:rFonts w:ascii="Arial" w:hAnsi="Arial" w:cs="Arial"/>
        </w:rPr>
        <w:t>culation</w:t>
      </w:r>
      <w:r>
        <w:rPr>
          <w:rFonts w:ascii="Arial" w:hAnsi="Arial" w:cs="Arial"/>
        </w:rPr>
        <w:t xml:space="preserve"> to determine related party relationship</w:t>
      </w:r>
      <w:r w:rsidRPr="005A0ABB">
        <w:rPr>
          <w:rFonts w:ascii="Arial" w:hAnsi="Arial" w:cs="Arial"/>
        </w:rPr>
        <w:t xml:space="preserve">. </w:t>
      </w:r>
    </w:p>
    <w:p w:rsidR="005B19D8" w:rsidRPr="005A0ABB"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16"/>
        </w:numPr>
        <w:spacing w:before="240" w:after="0" w:line="240" w:lineRule="auto"/>
        <w:ind w:left="851" w:hanging="425"/>
        <w:jc w:val="both"/>
        <w:rPr>
          <w:rFonts w:ascii="Arial" w:hAnsi="Arial" w:cs="Arial"/>
        </w:rPr>
      </w:pPr>
      <w:r>
        <w:rPr>
          <w:rFonts w:ascii="Arial" w:hAnsi="Arial" w:cs="Arial"/>
        </w:rPr>
        <w:t>One</w:t>
      </w:r>
      <w:r w:rsidRPr="00011C9E">
        <w:rPr>
          <w:rFonts w:ascii="Arial" w:hAnsi="Arial" w:cs="Arial"/>
        </w:rPr>
        <w:t xml:space="preserve"> party owns shares of the other party, or a common third party owns shares o</w:t>
      </w:r>
      <w:r>
        <w:rPr>
          <w:rFonts w:ascii="Arial" w:hAnsi="Arial" w:cs="Arial"/>
        </w:rPr>
        <w:t xml:space="preserve">f both parties, even </w:t>
      </w:r>
      <w:r w:rsidRPr="00011C9E">
        <w:rPr>
          <w:rFonts w:ascii="Arial" w:hAnsi="Arial" w:cs="Arial"/>
        </w:rPr>
        <w:t>though the percentage of shares held in either situation is less than the perc</w:t>
      </w:r>
      <w:r>
        <w:rPr>
          <w:rFonts w:ascii="Arial" w:hAnsi="Arial" w:cs="Arial"/>
        </w:rPr>
        <w:t>entage as specified in item</w:t>
      </w:r>
      <w:r w:rsidRPr="00011C9E">
        <w:rPr>
          <w:rFonts w:ascii="Arial" w:hAnsi="Arial" w:cs="Arial"/>
        </w:rPr>
        <w:t xml:space="preserve"> </w:t>
      </w:r>
      <w:r>
        <w:rPr>
          <w:rFonts w:ascii="Arial" w:hAnsi="Arial" w:cs="Arial"/>
        </w:rPr>
        <w:t>(i),</w:t>
      </w:r>
      <w:r w:rsidRPr="00011C9E">
        <w:rPr>
          <w:rFonts w:ascii="Arial" w:hAnsi="Arial" w:cs="Arial"/>
        </w:rPr>
        <w:t xml:space="preserve"> the </w:t>
      </w:r>
      <w:r>
        <w:rPr>
          <w:rFonts w:ascii="Arial" w:hAnsi="Arial" w:cs="Arial"/>
        </w:rPr>
        <w:t xml:space="preserve">total </w:t>
      </w:r>
      <w:r w:rsidRPr="00011C9E">
        <w:rPr>
          <w:rFonts w:ascii="Arial" w:hAnsi="Arial" w:cs="Arial"/>
        </w:rPr>
        <w:t xml:space="preserve">debt between both parties accounts for 50% </w:t>
      </w:r>
      <w:r>
        <w:rPr>
          <w:rFonts w:ascii="Arial" w:hAnsi="Arial" w:cs="Arial"/>
        </w:rPr>
        <w:t xml:space="preserve">or more </w:t>
      </w:r>
      <w:r w:rsidRPr="00011C9E">
        <w:rPr>
          <w:rFonts w:ascii="Arial" w:hAnsi="Arial" w:cs="Arial"/>
        </w:rPr>
        <w:t>of either party’s tota</w:t>
      </w:r>
      <w:r>
        <w:rPr>
          <w:rFonts w:ascii="Arial" w:hAnsi="Arial" w:cs="Arial"/>
        </w:rPr>
        <w:t xml:space="preserve">l paid-in capital, or </w:t>
      </w:r>
      <w:r w:rsidRPr="00011C9E">
        <w:rPr>
          <w:rFonts w:ascii="Arial" w:hAnsi="Arial" w:cs="Arial"/>
        </w:rPr>
        <w:t xml:space="preserve">10% </w:t>
      </w:r>
      <w:r>
        <w:rPr>
          <w:rFonts w:ascii="Arial" w:hAnsi="Arial" w:cs="Arial"/>
        </w:rPr>
        <w:t xml:space="preserve">or more </w:t>
      </w:r>
      <w:r w:rsidRPr="00011C9E">
        <w:rPr>
          <w:rFonts w:ascii="Arial" w:hAnsi="Arial" w:cs="Arial"/>
        </w:rPr>
        <w:t xml:space="preserve">of one party’s total debt is guaranteed by the other party </w:t>
      </w:r>
      <w:r>
        <w:rPr>
          <w:rFonts w:ascii="Arial" w:hAnsi="Arial" w:cs="Arial"/>
        </w:rPr>
        <w:t>(</w:t>
      </w:r>
      <w:r w:rsidRPr="00011C9E">
        <w:rPr>
          <w:rFonts w:ascii="Arial" w:hAnsi="Arial" w:cs="Arial"/>
        </w:rPr>
        <w:t xml:space="preserve">except for </w:t>
      </w:r>
      <w:r>
        <w:rPr>
          <w:rFonts w:ascii="Arial" w:hAnsi="Arial" w:cs="Arial"/>
        </w:rPr>
        <w:t xml:space="preserve">loans or guarantees from or between </w:t>
      </w:r>
      <w:r w:rsidRPr="00011C9E">
        <w:rPr>
          <w:rFonts w:ascii="Arial" w:hAnsi="Arial" w:cs="Arial"/>
        </w:rPr>
        <w:t>independent financial institutions</w:t>
      </w:r>
      <w:r>
        <w:rPr>
          <w:rFonts w:ascii="Arial" w:hAnsi="Arial" w:cs="Arial"/>
        </w:rPr>
        <w:t>)</w:t>
      </w:r>
      <w:r w:rsidRPr="00011C9E">
        <w:rPr>
          <w:rFonts w:ascii="Arial" w:hAnsi="Arial" w:cs="Arial"/>
        </w:rPr>
        <w:t>.</w:t>
      </w:r>
    </w:p>
    <w:p w:rsidR="005B19D8" w:rsidRDefault="005B19D8" w:rsidP="004132A5">
      <w:pPr>
        <w:pStyle w:val="ListParagraph"/>
        <w:spacing w:before="240" w:after="0" w:line="240" w:lineRule="auto"/>
        <w:ind w:left="851"/>
        <w:jc w:val="both"/>
        <w:rPr>
          <w:rFonts w:ascii="Arial" w:hAnsi="Arial" w:cs="Arial"/>
        </w:rPr>
      </w:pPr>
    </w:p>
    <w:p w:rsidR="005B19D8" w:rsidRPr="00637752" w:rsidRDefault="005B19D8" w:rsidP="004132A5">
      <w:pPr>
        <w:pStyle w:val="ListParagraph"/>
        <w:spacing w:before="240" w:after="0" w:line="240" w:lineRule="auto"/>
        <w:ind w:left="851"/>
        <w:jc w:val="both"/>
        <w:rPr>
          <w:rFonts w:ascii="Arial" w:hAnsi="Arial" w:cs="Arial"/>
        </w:rPr>
      </w:pPr>
      <w:r w:rsidRPr="00637752">
        <w:rPr>
          <w:rFonts w:ascii="Arial" w:hAnsi="Arial" w:cs="Arial"/>
        </w:rPr>
        <w:t xml:space="preserve">Ratio of total debt to paid-in capital = annual weighted average debt / annual weighted average paid-in capital, where:  </w:t>
      </w:r>
    </w:p>
    <w:p w:rsidR="005B19D8" w:rsidRPr="006E29B4" w:rsidRDefault="005B19D8" w:rsidP="004132A5">
      <w:pPr>
        <w:spacing w:before="240"/>
        <w:ind w:left="851"/>
        <w:jc w:val="both"/>
        <w:rPr>
          <w:rFonts w:ascii="Arial" w:hAnsi="Arial" w:cs="Arial"/>
        </w:rPr>
      </w:pPr>
      <w:r w:rsidRPr="006E29B4">
        <w:rPr>
          <w:rFonts w:ascii="Arial" w:hAnsi="Arial" w:cs="Arial"/>
        </w:rPr>
        <w:t xml:space="preserve">Annual weighted average debt = </w:t>
      </w:r>
      <w:r w:rsidRPr="006E29B4">
        <w:rPr>
          <w:rFonts w:ascii="Arial" w:hAnsi="Arial" w:cs="Arial"/>
          <w:position w:val="-46"/>
        </w:rPr>
        <w:object w:dxaOrig="74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6.75pt" o:ole="">
            <v:imagedata r:id="rId8" o:title=""/>
          </v:shape>
          <o:OLEObject Type="Embed" ProgID="Equation.3" ShapeID="_x0000_i1025" DrawAspect="Content" ObjectID="_1532780366" r:id="rId9"/>
        </w:object>
      </w:r>
      <w:r w:rsidRPr="006E29B4">
        <w:rPr>
          <w:rFonts w:ascii="Arial" w:hAnsi="Arial" w:cs="Arial"/>
        </w:rPr>
        <w:t xml:space="preserve"> (book value of debt</w:t>
      </w:r>
      <w:r>
        <w:rPr>
          <w:rFonts w:ascii="Arial" w:hAnsi="Arial" w:cs="Arial"/>
        </w:rPr>
        <w:t xml:space="preserve"> (i)</w:t>
      </w:r>
      <w:r w:rsidRPr="006E29B4">
        <w:rPr>
          <w:rFonts w:ascii="Arial" w:hAnsi="Arial" w:cs="Arial"/>
        </w:rPr>
        <w:t xml:space="preserve"> x </w:t>
      </w:r>
      <w:r>
        <w:rPr>
          <w:rFonts w:ascii="Arial" w:hAnsi="Arial" w:cs="Arial"/>
        </w:rPr>
        <w:t xml:space="preserve">corresponding </w:t>
      </w:r>
      <w:r w:rsidRPr="006E29B4">
        <w:rPr>
          <w:rFonts w:ascii="Arial" w:hAnsi="Arial" w:cs="Arial"/>
        </w:rPr>
        <w:t>number of days</w:t>
      </w:r>
      <w:r>
        <w:rPr>
          <w:rFonts w:ascii="Arial" w:hAnsi="Arial" w:cs="Arial"/>
        </w:rPr>
        <w:t xml:space="preserve"> outstanding</w:t>
      </w:r>
      <w:r w:rsidRPr="006E29B4">
        <w:rPr>
          <w:rFonts w:ascii="Arial" w:hAnsi="Arial" w:cs="Arial"/>
        </w:rPr>
        <w:t xml:space="preserve"> / 365;  </w:t>
      </w:r>
    </w:p>
    <w:p w:rsidR="005B19D8" w:rsidRPr="006E29B4" w:rsidRDefault="005B19D8" w:rsidP="004132A5">
      <w:pPr>
        <w:spacing w:before="240"/>
        <w:ind w:left="851"/>
        <w:jc w:val="both"/>
        <w:rPr>
          <w:rFonts w:ascii="Arial" w:hAnsi="Arial" w:cs="Arial"/>
        </w:rPr>
      </w:pPr>
      <w:r w:rsidRPr="006E29B4">
        <w:rPr>
          <w:rFonts w:ascii="Arial" w:hAnsi="Arial" w:cs="Arial"/>
        </w:rPr>
        <w:t xml:space="preserve">Annual weighted average paid-in capital = </w:t>
      </w:r>
      <w:r w:rsidRPr="006E29B4">
        <w:rPr>
          <w:rFonts w:ascii="Arial" w:hAnsi="Arial" w:cs="Arial"/>
          <w:position w:val="-46"/>
        </w:rPr>
        <w:object w:dxaOrig="740" w:dyaOrig="1040">
          <v:shape id="_x0000_i1026" type="#_x0000_t75" style="width:25.5pt;height:36.75pt" o:ole="">
            <v:imagedata r:id="rId8" o:title=""/>
          </v:shape>
          <o:OLEObject Type="Embed" ProgID="Equation.3" ShapeID="_x0000_i1026" DrawAspect="Content" ObjectID="_1532780367" r:id="rId10"/>
        </w:object>
      </w:r>
      <w:r w:rsidRPr="006E29B4">
        <w:rPr>
          <w:rFonts w:ascii="Arial" w:hAnsi="Arial" w:cs="Arial"/>
        </w:rPr>
        <w:t xml:space="preserve"> (book value of paid-in capital </w:t>
      </w:r>
      <w:r>
        <w:rPr>
          <w:rFonts w:ascii="Arial" w:hAnsi="Arial" w:cs="Arial"/>
        </w:rPr>
        <w:t xml:space="preserve">(i) </w:t>
      </w:r>
      <w:r w:rsidRPr="006E29B4">
        <w:rPr>
          <w:rFonts w:ascii="Arial" w:hAnsi="Arial" w:cs="Arial"/>
        </w:rPr>
        <w:t>x</w:t>
      </w:r>
      <w:r>
        <w:rPr>
          <w:rFonts w:ascii="Arial" w:hAnsi="Arial" w:cs="Arial"/>
        </w:rPr>
        <w:t xml:space="preserve"> corresponding</w:t>
      </w:r>
      <w:r w:rsidRPr="006E29B4">
        <w:rPr>
          <w:rFonts w:ascii="Arial" w:hAnsi="Arial" w:cs="Arial"/>
        </w:rPr>
        <w:t xml:space="preserve"> number of days </w:t>
      </w:r>
      <w:r>
        <w:rPr>
          <w:rFonts w:ascii="Arial" w:hAnsi="Arial" w:cs="Arial"/>
        </w:rPr>
        <w:t>invested</w:t>
      </w:r>
      <w:r w:rsidRPr="006E29B4">
        <w:rPr>
          <w:rFonts w:ascii="Arial" w:hAnsi="Arial" w:cs="Arial"/>
        </w:rPr>
        <w:t>) / 365.</w:t>
      </w:r>
    </w:p>
    <w:p w:rsidR="005B19D8" w:rsidRDefault="005B19D8" w:rsidP="00EC42C0">
      <w:pPr>
        <w:pStyle w:val="ListParagraph"/>
        <w:numPr>
          <w:ilvl w:val="0"/>
          <w:numId w:val="16"/>
        </w:numPr>
        <w:spacing w:before="240" w:after="0" w:line="240" w:lineRule="auto"/>
        <w:ind w:left="851" w:hanging="425"/>
        <w:jc w:val="both"/>
        <w:rPr>
          <w:rFonts w:ascii="Arial" w:hAnsi="Arial" w:cs="Arial"/>
        </w:rPr>
      </w:pPr>
      <w:r>
        <w:rPr>
          <w:rFonts w:ascii="Arial" w:hAnsi="Arial" w:cs="Arial"/>
        </w:rPr>
        <w:t>One</w:t>
      </w:r>
      <w:r w:rsidRPr="00011C9E">
        <w:rPr>
          <w:rFonts w:ascii="Arial" w:hAnsi="Arial" w:cs="Arial"/>
        </w:rPr>
        <w:t xml:space="preserve"> party owns shares of the other party, or a common third party owns shares of both parties, even though the percentage of shares held in either situation is less than the percentage as specified in </w:t>
      </w:r>
      <w:r>
        <w:rPr>
          <w:rFonts w:ascii="Arial" w:hAnsi="Arial" w:cs="Arial"/>
        </w:rPr>
        <w:t>item</w:t>
      </w:r>
      <w:r w:rsidRPr="00011C9E">
        <w:rPr>
          <w:rFonts w:ascii="Arial" w:hAnsi="Arial" w:cs="Arial"/>
        </w:rPr>
        <w:t xml:space="preserve"> </w:t>
      </w:r>
      <w:r>
        <w:rPr>
          <w:rFonts w:ascii="Arial" w:hAnsi="Arial" w:cs="Arial"/>
        </w:rPr>
        <w:t>(i)</w:t>
      </w:r>
      <w:r w:rsidRPr="00011C9E">
        <w:rPr>
          <w:rFonts w:ascii="Arial" w:hAnsi="Arial" w:cs="Arial"/>
        </w:rPr>
        <w:t>, the business operations of one party depend on the proprietary right</w:t>
      </w:r>
      <w:r>
        <w:rPr>
          <w:rFonts w:ascii="Arial" w:hAnsi="Arial" w:cs="Arial"/>
        </w:rPr>
        <w:t xml:space="preserve">s, </w:t>
      </w:r>
      <w:r w:rsidRPr="00011C9E">
        <w:rPr>
          <w:rFonts w:ascii="Arial" w:hAnsi="Arial" w:cs="Arial"/>
        </w:rPr>
        <w:t>such as patents, non-patented technological know-how, trademarks</w:t>
      </w:r>
      <w:r>
        <w:rPr>
          <w:rFonts w:ascii="Arial" w:hAnsi="Arial" w:cs="Arial"/>
        </w:rPr>
        <w:t>,</w:t>
      </w:r>
      <w:r w:rsidRPr="00011C9E">
        <w:rPr>
          <w:rFonts w:ascii="Arial" w:hAnsi="Arial" w:cs="Arial"/>
        </w:rPr>
        <w:t xml:space="preserve"> copyright</w:t>
      </w:r>
      <w:r>
        <w:rPr>
          <w:rFonts w:ascii="Arial" w:hAnsi="Arial" w:cs="Arial"/>
        </w:rPr>
        <w:t>s, etc.,</w:t>
      </w:r>
      <w:r w:rsidRPr="00011C9E">
        <w:rPr>
          <w:rFonts w:ascii="Arial" w:hAnsi="Arial" w:cs="Arial"/>
        </w:rPr>
        <w:t xml:space="preserve"> provided by the other party.</w:t>
      </w:r>
    </w:p>
    <w:p w:rsidR="005B19D8" w:rsidRPr="00011C9E"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16"/>
        </w:numPr>
        <w:spacing w:before="240" w:after="0" w:line="240" w:lineRule="auto"/>
        <w:ind w:left="851" w:hanging="425"/>
        <w:jc w:val="both"/>
        <w:rPr>
          <w:rFonts w:ascii="Arial" w:hAnsi="Arial" w:cs="Arial"/>
        </w:rPr>
      </w:pPr>
      <w:r>
        <w:rPr>
          <w:rFonts w:ascii="Arial" w:hAnsi="Arial" w:cs="Arial"/>
        </w:rPr>
        <w:t>One</w:t>
      </w:r>
      <w:r w:rsidRPr="00011C9E">
        <w:rPr>
          <w:rFonts w:ascii="Arial" w:hAnsi="Arial" w:cs="Arial"/>
        </w:rPr>
        <w:t xml:space="preserve"> party owns shares of the other party, or a common third party owns shares of both parties, even though the percentage of shares held in either situation is less than the percentage as specified in </w:t>
      </w:r>
      <w:r>
        <w:rPr>
          <w:rFonts w:ascii="Arial" w:hAnsi="Arial" w:cs="Arial"/>
        </w:rPr>
        <w:t>item</w:t>
      </w:r>
      <w:r w:rsidRPr="00011C9E">
        <w:rPr>
          <w:rFonts w:ascii="Arial" w:hAnsi="Arial" w:cs="Arial"/>
        </w:rPr>
        <w:t xml:space="preserve"> </w:t>
      </w:r>
      <w:r>
        <w:rPr>
          <w:rFonts w:ascii="Arial" w:hAnsi="Arial" w:cs="Arial"/>
        </w:rPr>
        <w:t>(i)</w:t>
      </w:r>
      <w:r w:rsidRPr="00011C9E">
        <w:rPr>
          <w:rFonts w:ascii="Arial" w:hAnsi="Arial" w:cs="Arial"/>
        </w:rPr>
        <w:t>, the business activities</w:t>
      </w:r>
      <w:r>
        <w:rPr>
          <w:rFonts w:ascii="Arial" w:hAnsi="Arial" w:cs="Arial"/>
        </w:rPr>
        <w:t xml:space="preserve">, such as </w:t>
      </w:r>
      <w:r w:rsidRPr="00011C9E">
        <w:rPr>
          <w:rFonts w:ascii="Arial" w:hAnsi="Arial" w:cs="Arial"/>
        </w:rPr>
        <w:t xml:space="preserve">purchases, sales, </w:t>
      </w:r>
      <w:r>
        <w:rPr>
          <w:rFonts w:ascii="Arial" w:hAnsi="Arial" w:cs="Arial"/>
        </w:rPr>
        <w:t>receipt of services, provision of services, etc.,</w:t>
      </w:r>
      <w:r w:rsidRPr="00011C9E">
        <w:rPr>
          <w:rFonts w:ascii="Arial" w:hAnsi="Arial" w:cs="Arial"/>
        </w:rPr>
        <w:t xml:space="preserve"> of one party are controlled by the other party.</w:t>
      </w:r>
    </w:p>
    <w:p w:rsidR="005B19D8" w:rsidRPr="00637752" w:rsidRDefault="005B19D8" w:rsidP="004132A5">
      <w:pPr>
        <w:pStyle w:val="ListParagraph"/>
        <w:jc w:val="both"/>
        <w:rPr>
          <w:rFonts w:ascii="Arial" w:hAnsi="Arial" w:cs="Arial"/>
        </w:rPr>
      </w:pPr>
    </w:p>
    <w:p w:rsidR="005B19D8" w:rsidRPr="00637752" w:rsidRDefault="005B19D8" w:rsidP="004132A5">
      <w:pPr>
        <w:pStyle w:val="ListParagraph"/>
        <w:spacing w:before="240" w:after="0" w:line="240" w:lineRule="auto"/>
        <w:ind w:left="851"/>
        <w:jc w:val="both"/>
        <w:rPr>
          <w:rFonts w:ascii="Arial" w:hAnsi="Arial" w:cs="Arial"/>
        </w:rPr>
      </w:pPr>
      <w:r w:rsidRPr="00637752">
        <w:rPr>
          <w:rFonts w:ascii="Arial" w:hAnsi="Arial" w:cs="Arial"/>
        </w:rPr>
        <w:lastRenderedPageBreak/>
        <w:t xml:space="preserve">The </w:t>
      </w:r>
      <w:r>
        <w:rPr>
          <w:rFonts w:ascii="Arial" w:hAnsi="Arial" w:cs="Arial"/>
        </w:rPr>
        <w:t>aforementioned</w:t>
      </w:r>
      <w:r w:rsidRPr="00637752">
        <w:rPr>
          <w:rFonts w:ascii="Arial" w:hAnsi="Arial" w:cs="Arial"/>
        </w:rPr>
        <w:t xml:space="preserve"> “controlled” refers to the case </w:t>
      </w:r>
      <w:r>
        <w:rPr>
          <w:rFonts w:ascii="Arial" w:hAnsi="Arial" w:cs="Arial"/>
        </w:rPr>
        <w:t>where</w:t>
      </w:r>
      <w:r w:rsidRPr="00637752">
        <w:rPr>
          <w:rFonts w:ascii="Arial" w:hAnsi="Arial" w:cs="Arial"/>
        </w:rPr>
        <w:t xml:space="preserve"> one party </w:t>
      </w:r>
      <w:r>
        <w:rPr>
          <w:rFonts w:ascii="Arial" w:hAnsi="Arial" w:cs="Arial"/>
        </w:rPr>
        <w:t xml:space="preserve">has the right to make decisions </w:t>
      </w:r>
      <w:r w:rsidRPr="00637752">
        <w:rPr>
          <w:rFonts w:ascii="Arial" w:hAnsi="Arial" w:cs="Arial"/>
        </w:rPr>
        <w:t>on the other party’s financial and operational policies and can</w:t>
      </w:r>
      <w:r>
        <w:rPr>
          <w:rFonts w:ascii="Arial" w:hAnsi="Arial" w:cs="Arial"/>
        </w:rPr>
        <w:t xml:space="preserve"> </w:t>
      </w:r>
      <w:r w:rsidRPr="00637752">
        <w:rPr>
          <w:rFonts w:ascii="Arial" w:hAnsi="Arial" w:cs="Arial"/>
        </w:rPr>
        <w:t>therefore derive benefits from the other party’s operations.</w:t>
      </w:r>
    </w:p>
    <w:p w:rsidR="005B19D8"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16"/>
        </w:numPr>
        <w:spacing w:before="240" w:after="0" w:line="240" w:lineRule="auto"/>
        <w:ind w:left="851" w:hanging="425"/>
        <w:jc w:val="both"/>
        <w:rPr>
          <w:rFonts w:ascii="Arial" w:hAnsi="Arial" w:cs="Arial"/>
        </w:rPr>
      </w:pPr>
      <w:r w:rsidRPr="00011C9E">
        <w:rPr>
          <w:rFonts w:ascii="Arial" w:hAnsi="Arial" w:cs="Arial"/>
        </w:rPr>
        <w:t xml:space="preserve">More than half of the directors or </w:t>
      </w:r>
      <w:r>
        <w:rPr>
          <w:rFonts w:ascii="Arial" w:hAnsi="Arial" w:cs="Arial"/>
        </w:rPr>
        <w:t>senior</w:t>
      </w:r>
      <w:r w:rsidRPr="00011C9E">
        <w:rPr>
          <w:rFonts w:ascii="Arial" w:hAnsi="Arial" w:cs="Arial"/>
        </w:rPr>
        <w:t xml:space="preserve"> management (including secretaries of the board of directors of listed companies, managers, deputy managers, financial controllers and other personnel specified in the company’s articles of association) of one party are appointed or assigned by the other party, or simultaneously </w:t>
      </w:r>
      <w:r>
        <w:rPr>
          <w:rFonts w:ascii="Arial" w:hAnsi="Arial" w:cs="Arial"/>
        </w:rPr>
        <w:t xml:space="preserve">serve </w:t>
      </w:r>
      <w:r w:rsidRPr="00011C9E">
        <w:rPr>
          <w:rFonts w:ascii="Arial" w:hAnsi="Arial" w:cs="Arial"/>
        </w:rPr>
        <w:t xml:space="preserve"> as directors or </w:t>
      </w:r>
      <w:r>
        <w:rPr>
          <w:rFonts w:ascii="Arial" w:hAnsi="Arial" w:cs="Arial"/>
        </w:rPr>
        <w:t>senior</w:t>
      </w:r>
      <w:r w:rsidRPr="00011C9E">
        <w:rPr>
          <w:rFonts w:ascii="Arial" w:hAnsi="Arial" w:cs="Arial"/>
        </w:rPr>
        <w:t xml:space="preserve"> management of the other party; or more than half of the directors or </w:t>
      </w:r>
      <w:r>
        <w:rPr>
          <w:rFonts w:ascii="Arial" w:hAnsi="Arial" w:cs="Arial"/>
        </w:rPr>
        <w:t>senior</w:t>
      </w:r>
      <w:r w:rsidRPr="00011C9E">
        <w:rPr>
          <w:rFonts w:ascii="Arial" w:hAnsi="Arial" w:cs="Arial"/>
        </w:rPr>
        <w:t xml:space="preserve"> management of both parties are appointed or assigned by a common third party. </w:t>
      </w:r>
    </w:p>
    <w:p w:rsidR="005B19D8" w:rsidRDefault="005B19D8" w:rsidP="004132A5">
      <w:pPr>
        <w:pStyle w:val="ListParagraph"/>
        <w:spacing w:before="240" w:after="0" w:line="240" w:lineRule="auto"/>
        <w:ind w:left="851"/>
        <w:jc w:val="both"/>
        <w:rPr>
          <w:rFonts w:ascii="Arial" w:hAnsi="Arial" w:cs="Arial"/>
        </w:rPr>
      </w:pPr>
    </w:p>
    <w:p w:rsidR="005B19D8" w:rsidRPr="00ED359D" w:rsidRDefault="005B19D8" w:rsidP="00EC42C0">
      <w:pPr>
        <w:pStyle w:val="ListParagraph"/>
        <w:numPr>
          <w:ilvl w:val="0"/>
          <w:numId w:val="16"/>
        </w:numPr>
        <w:spacing w:before="240" w:after="0" w:line="240" w:lineRule="auto"/>
        <w:ind w:left="851" w:hanging="425"/>
        <w:jc w:val="both"/>
        <w:rPr>
          <w:rFonts w:ascii="Arial" w:hAnsi="Arial" w:cs="Arial"/>
        </w:rPr>
      </w:pPr>
      <w:r w:rsidRPr="00ED359D">
        <w:rPr>
          <w:rFonts w:ascii="Arial" w:hAnsi="Arial" w:cs="Arial"/>
        </w:rPr>
        <w:t>Two natural persons who are spouses, related by lineal consanguinity, siblings, or in other custodianship/family maintenance relationships have one of the relationships as specified in items (i) to (v) with one party and the other party respectively.</w:t>
      </w:r>
    </w:p>
    <w:p w:rsidR="005B19D8" w:rsidRDefault="005B19D8" w:rsidP="004132A5">
      <w:pPr>
        <w:pStyle w:val="ListParagraph"/>
        <w:spacing w:before="240" w:after="0" w:line="240" w:lineRule="auto"/>
        <w:ind w:left="851"/>
        <w:jc w:val="both"/>
        <w:rPr>
          <w:rFonts w:ascii="Arial" w:hAnsi="Arial" w:cs="Arial"/>
        </w:rPr>
      </w:pPr>
    </w:p>
    <w:p w:rsidR="005B19D8" w:rsidRPr="005107EC" w:rsidRDefault="005B19D8" w:rsidP="00EC42C0">
      <w:pPr>
        <w:pStyle w:val="ListParagraph"/>
        <w:numPr>
          <w:ilvl w:val="0"/>
          <w:numId w:val="16"/>
        </w:numPr>
        <w:spacing w:before="240" w:after="0" w:line="240" w:lineRule="auto"/>
        <w:ind w:left="851" w:hanging="425"/>
        <w:jc w:val="both"/>
        <w:rPr>
          <w:rFonts w:ascii="Arial" w:hAnsi="Arial" w:cs="Arial"/>
        </w:rPr>
      </w:pPr>
      <w:r w:rsidRPr="005107EC">
        <w:rPr>
          <w:rFonts w:ascii="Arial" w:hAnsi="Arial" w:cs="Arial"/>
        </w:rPr>
        <w:t>Two parties substantially have common interests in other ways.</w:t>
      </w:r>
    </w:p>
    <w:p w:rsidR="005B19D8" w:rsidRDefault="005B19D8" w:rsidP="004132A5">
      <w:pPr>
        <w:pStyle w:val="ListParagraph"/>
        <w:ind w:left="426"/>
        <w:jc w:val="both"/>
        <w:rPr>
          <w:rFonts w:ascii="Arial" w:hAnsi="Arial" w:cs="Arial"/>
        </w:rPr>
      </w:pPr>
    </w:p>
    <w:p w:rsidR="005B19D8" w:rsidRDefault="005B19D8" w:rsidP="004132A5">
      <w:pPr>
        <w:pStyle w:val="ListParagraph"/>
        <w:ind w:left="426"/>
        <w:jc w:val="both"/>
        <w:rPr>
          <w:rFonts w:ascii="Arial" w:hAnsi="Arial" w:cs="Arial"/>
        </w:rPr>
      </w:pPr>
      <w:r>
        <w:rPr>
          <w:rFonts w:ascii="Arial" w:hAnsi="Arial" w:cs="Arial"/>
        </w:rPr>
        <w:t>Except for item (ii) in this Article, the aforementioned related party relationship should be recognized for the period during which it exists, in the event it changes during the filing year</w:t>
      </w:r>
      <w:r w:rsidRPr="00011C9E">
        <w:rPr>
          <w:rFonts w:ascii="Arial" w:hAnsi="Arial" w:cs="Arial"/>
        </w:rPr>
        <w:t xml:space="preserve">. </w:t>
      </w:r>
    </w:p>
    <w:p w:rsidR="005B19D8"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Any shareholding by the State or association through assignment of directors or senior management</w:t>
      </w:r>
      <w:r w:rsidRPr="00E80809">
        <w:rPr>
          <w:rFonts w:ascii="Arial" w:hAnsi="Arial" w:cs="Arial"/>
        </w:rPr>
        <w:t xml:space="preserve"> by the state-owned assets </w:t>
      </w:r>
      <w:r>
        <w:rPr>
          <w:rFonts w:ascii="Arial" w:hAnsi="Arial" w:cs="Arial"/>
        </w:rPr>
        <w:t>management</w:t>
      </w:r>
      <w:r w:rsidRPr="00E80809">
        <w:rPr>
          <w:rFonts w:ascii="Arial" w:hAnsi="Arial" w:cs="Arial"/>
        </w:rPr>
        <w:t xml:space="preserve"> authorities, </w:t>
      </w:r>
      <w:r>
        <w:rPr>
          <w:rFonts w:ascii="Arial" w:hAnsi="Arial" w:cs="Arial"/>
        </w:rPr>
        <w:t>and therefore qualified as the relationship as specified in Items (i) to (v) of Article 2, will not be deemed to</w:t>
      </w:r>
      <w:r w:rsidRPr="00E80809">
        <w:rPr>
          <w:rFonts w:ascii="Arial" w:hAnsi="Arial" w:cs="Arial"/>
        </w:rPr>
        <w:t xml:space="preserve"> </w:t>
      </w:r>
      <w:r>
        <w:rPr>
          <w:rFonts w:ascii="Arial" w:hAnsi="Arial" w:cs="Arial"/>
        </w:rPr>
        <w:t>constitute a</w:t>
      </w:r>
      <w:r w:rsidRPr="00E80809">
        <w:rPr>
          <w:rFonts w:ascii="Arial" w:hAnsi="Arial" w:cs="Arial"/>
        </w:rPr>
        <w:t xml:space="preserve"> “related party relationship” as </w:t>
      </w:r>
      <w:r>
        <w:rPr>
          <w:rFonts w:ascii="Arial" w:hAnsi="Arial" w:cs="Arial"/>
        </w:rPr>
        <w:t>specified</w:t>
      </w:r>
      <w:r w:rsidRPr="00E80809">
        <w:rPr>
          <w:rFonts w:ascii="Arial" w:hAnsi="Arial" w:cs="Arial"/>
        </w:rPr>
        <w:t xml:space="preserve"> in this </w:t>
      </w:r>
      <w:r>
        <w:rPr>
          <w:rFonts w:ascii="Arial" w:hAnsi="Arial" w:cs="Arial"/>
        </w:rPr>
        <w:t>Public Notice</w:t>
      </w:r>
      <w:r w:rsidRPr="00E80809">
        <w:rPr>
          <w:rFonts w:ascii="Arial" w:hAnsi="Arial" w:cs="Arial"/>
        </w:rPr>
        <w:t>.</w:t>
      </w:r>
    </w:p>
    <w:p w:rsidR="005B19D8" w:rsidRPr="00E80809"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Related party t</w:t>
      </w:r>
      <w:r w:rsidRPr="006227F6">
        <w:rPr>
          <w:rFonts w:ascii="Arial" w:hAnsi="Arial" w:cs="Arial"/>
        </w:rPr>
        <w:t>ransactions mainly include:</w:t>
      </w:r>
    </w:p>
    <w:p w:rsidR="005B19D8" w:rsidRPr="00D056D9" w:rsidRDefault="005B19D8" w:rsidP="004132A5">
      <w:pPr>
        <w:pStyle w:val="ListParagraph"/>
        <w:jc w:val="both"/>
        <w:rPr>
          <w:rFonts w:ascii="Arial" w:hAnsi="Arial" w:cs="Arial"/>
        </w:rPr>
      </w:pPr>
    </w:p>
    <w:p w:rsidR="005B19D8" w:rsidRDefault="005B19D8" w:rsidP="00EC42C0">
      <w:pPr>
        <w:pStyle w:val="ListParagraph"/>
        <w:numPr>
          <w:ilvl w:val="0"/>
          <w:numId w:val="3"/>
        </w:numPr>
        <w:tabs>
          <w:tab w:val="clear" w:pos="720"/>
        </w:tabs>
        <w:spacing w:before="240" w:after="0" w:line="240" w:lineRule="auto"/>
        <w:ind w:left="851" w:hanging="425"/>
        <w:jc w:val="both"/>
        <w:rPr>
          <w:rFonts w:ascii="Arial" w:hAnsi="Arial" w:cs="Arial"/>
        </w:rPr>
      </w:pPr>
      <w:r w:rsidRPr="00D056D9">
        <w:rPr>
          <w:rFonts w:ascii="Arial" w:hAnsi="Arial" w:cs="Arial"/>
        </w:rPr>
        <w:t xml:space="preserve">Transfer of the right to use or ownership of </w:t>
      </w:r>
      <w:bookmarkStart w:id="1" w:name="OLE_LINK3"/>
      <w:bookmarkStart w:id="2" w:name="OLE_LINK4"/>
      <w:r w:rsidRPr="00D056D9">
        <w:rPr>
          <w:rFonts w:ascii="Arial" w:hAnsi="Arial" w:cs="Arial"/>
        </w:rPr>
        <w:t>tangible assets</w:t>
      </w:r>
      <w:bookmarkEnd w:id="1"/>
      <w:bookmarkEnd w:id="2"/>
      <w:r>
        <w:rPr>
          <w:rFonts w:ascii="Arial" w:hAnsi="Arial" w:cs="Arial"/>
        </w:rPr>
        <w:t>.  T</w:t>
      </w:r>
      <w:r w:rsidRPr="00D056D9">
        <w:rPr>
          <w:rFonts w:ascii="Arial" w:hAnsi="Arial" w:cs="Arial"/>
        </w:rPr>
        <w:t>angible assets include merchandise, products, buildings, transportation vehicles, machinery and equipment, tools, apparatus</w:t>
      </w:r>
      <w:r>
        <w:rPr>
          <w:rFonts w:ascii="Arial" w:hAnsi="Arial" w:cs="Arial"/>
        </w:rPr>
        <w:t>, etc.</w:t>
      </w:r>
    </w:p>
    <w:p w:rsidR="005B19D8"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3"/>
        </w:numPr>
        <w:tabs>
          <w:tab w:val="clear" w:pos="720"/>
        </w:tabs>
        <w:spacing w:before="240" w:after="0" w:line="240" w:lineRule="auto"/>
        <w:ind w:left="851" w:hanging="425"/>
        <w:jc w:val="both"/>
        <w:rPr>
          <w:rFonts w:ascii="Arial" w:hAnsi="Arial" w:cs="Arial"/>
        </w:rPr>
      </w:pPr>
      <w:r w:rsidRPr="00D056D9">
        <w:rPr>
          <w:rFonts w:ascii="Arial" w:hAnsi="Arial" w:cs="Arial"/>
        </w:rPr>
        <w:t xml:space="preserve">Transfer of financial assets. </w:t>
      </w:r>
      <w:r>
        <w:rPr>
          <w:rFonts w:ascii="Arial" w:hAnsi="Arial" w:cs="Arial"/>
        </w:rPr>
        <w:t xml:space="preserve"> </w:t>
      </w:r>
      <w:r w:rsidRPr="00D056D9">
        <w:rPr>
          <w:rFonts w:ascii="Arial" w:hAnsi="Arial" w:cs="Arial"/>
        </w:rPr>
        <w:t>Financial assets include account</w:t>
      </w:r>
      <w:r>
        <w:rPr>
          <w:rFonts w:ascii="Arial" w:hAnsi="Arial" w:cs="Arial"/>
        </w:rPr>
        <w:t>s</w:t>
      </w:r>
      <w:r w:rsidRPr="00D056D9">
        <w:rPr>
          <w:rFonts w:ascii="Arial" w:hAnsi="Arial" w:cs="Arial"/>
        </w:rPr>
        <w:t xml:space="preserve"> receivables, notes receivables, other receivables, equity</w:t>
      </w:r>
      <w:r>
        <w:rPr>
          <w:rFonts w:ascii="Arial" w:hAnsi="Arial" w:cs="Arial"/>
        </w:rPr>
        <w:t xml:space="preserve"> investments</w:t>
      </w:r>
      <w:r w:rsidRPr="00D056D9">
        <w:rPr>
          <w:rFonts w:ascii="Arial" w:hAnsi="Arial" w:cs="Arial"/>
        </w:rPr>
        <w:t xml:space="preserve">, debt investments, </w:t>
      </w:r>
      <w:r>
        <w:rPr>
          <w:rFonts w:ascii="Arial" w:hAnsi="Arial" w:cs="Arial"/>
        </w:rPr>
        <w:t xml:space="preserve">derivative financial instruments, etc. </w:t>
      </w:r>
    </w:p>
    <w:p w:rsidR="005B19D8" w:rsidRPr="00D056D9" w:rsidRDefault="005B19D8" w:rsidP="004132A5">
      <w:pPr>
        <w:pStyle w:val="ListParagraph"/>
        <w:jc w:val="both"/>
        <w:rPr>
          <w:rFonts w:ascii="Arial" w:hAnsi="Arial" w:cs="Arial"/>
        </w:rPr>
      </w:pPr>
    </w:p>
    <w:p w:rsidR="005B19D8" w:rsidRDefault="005B19D8" w:rsidP="00EC42C0">
      <w:pPr>
        <w:pStyle w:val="ListParagraph"/>
        <w:numPr>
          <w:ilvl w:val="0"/>
          <w:numId w:val="3"/>
        </w:numPr>
        <w:tabs>
          <w:tab w:val="clear" w:pos="720"/>
        </w:tabs>
        <w:spacing w:before="240" w:after="0" w:line="240" w:lineRule="auto"/>
        <w:ind w:left="851" w:hanging="425"/>
        <w:jc w:val="both"/>
        <w:rPr>
          <w:rFonts w:ascii="Arial" w:hAnsi="Arial" w:cs="Arial"/>
        </w:rPr>
      </w:pPr>
      <w:r w:rsidRPr="00D056D9">
        <w:rPr>
          <w:rFonts w:ascii="Arial" w:hAnsi="Arial" w:cs="Arial"/>
        </w:rPr>
        <w:lastRenderedPageBreak/>
        <w:t xml:space="preserve">Transfer of the right to use or ownership of intangibles. </w:t>
      </w:r>
      <w:r>
        <w:rPr>
          <w:rFonts w:ascii="Arial" w:hAnsi="Arial" w:cs="Arial"/>
        </w:rPr>
        <w:t xml:space="preserve"> </w:t>
      </w:r>
      <w:r w:rsidRPr="00D056D9">
        <w:rPr>
          <w:rFonts w:ascii="Arial" w:hAnsi="Arial" w:cs="Arial"/>
        </w:rPr>
        <w:t>Intangibles include patent</w:t>
      </w:r>
      <w:r>
        <w:rPr>
          <w:rFonts w:ascii="Arial" w:hAnsi="Arial" w:cs="Arial"/>
        </w:rPr>
        <w:t>s</w:t>
      </w:r>
      <w:r w:rsidRPr="00D056D9">
        <w:rPr>
          <w:rFonts w:ascii="Arial" w:hAnsi="Arial" w:cs="Arial"/>
        </w:rPr>
        <w:t xml:space="preserve">, non-patented technological know-how, </w:t>
      </w:r>
      <w:r>
        <w:rPr>
          <w:rFonts w:ascii="Arial" w:hAnsi="Arial" w:cs="Arial"/>
        </w:rPr>
        <w:t>trade</w:t>
      </w:r>
      <w:r w:rsidRPr="00D056D9">
        <w:rPr>
          <w:rFonts w:ascii="Arial" w:hAnsi="Arial" w:cs="Arial"/>
        </w:rPr>
        <w:t xml:space="preserve"> secrets, trademarks, brand names, customer lists, sales channels, franchise rights, government licenses</w:t>
      </w:r>
      <w:r>
        <w:rPr>
          <w:rFonts w:ascii="Arial" w:hAnsi="Arial" w:cs="Arial"/>
        </w:rPr>
        <w:t>,</w:t>
      </w:r>
      <w:r w:rsidRPr="00D056D9">
        <w:rPr>
          <w:rFonts w:ascii="Arial" w:hAnsi="Arial" w:cs="Arial"/>
        </w:rPr>
        <w:t xml:space="preserve"> copyrights, etc.  </w:t>
      </w:r>
    </w:p>
    <w:p w:rsidR="005B19D8" w:rsidRPr="00D056D9" w:rsidRDefault="005B19D8" w:rsidP="004132A5">
      <w:pPr>
        <w:pStyle w:val="ListParagraph"/>
        <w:jc w:val="both"/>
        <w:rPr>
          <w:rFonts w:ascii="Arial" w:hAnsi="Arial" w:cs="Arial"/>
        </w:rPr>
      </w:pPr>
    </w:p>
    <w:p w:rsidR="005B19D8" w:rsidRDefault="005B19D8" w:rsidP="00EC42C0">
      <w:pPr>
        <w:pStyle w:val="ListParagraph"/>
        <w:numPr>
          <w:ilvl w:val="0"/>
          <w:numId w:val="3"/>
        </w:numPr>
        <w:tabs>
          <w:tab w:val="clear" w:pos="720"/>
        </w:tabs>
        <w:spacing w:before="240" w:after="0" w:line="240" w:lineRule="auto"/>
        <w:ind w:left="851" w:hanging="425"/>
        <w:jc w:val="both"/>
        <w:rPr>
          <w:rFonts w:ascii="Arial" w:hAnsi="Arial" w:cs="Arial"/>
        </w:rPr>
      </w:pPr>
      <w:r w:rsidRPr="00D056D9">
        <w:rPr>
          <w:rFonts w:ascii="Arial" w:hAnsi="Arial" w:cs="Arial"/>
        </w:rPr>
        <w:t>Financing.</w:t>
      </w:r>
      <w:r>
        <w:rPr>
          <w:rFonts w:ascii="Arial" w:hAnsi="Arial" w:cs="Arial"/>
        </w:rPr>
        <w:t xml:space="preserve">  </w:t>
      </w:r>
      <w:r w:rsidRPr="00D056D9">
        <w:rPr>
          <w:rFonts w:ascii="Arial" w:hAnsi="Arial" w:cs="Arial"/>
        </w:rPr>
        <w:t>Financing include</w:t>
      </w:r>
      <w:r>
        <w:rPr>
          <w:rFonts w:ascii="Arial" w:hAnsi="Arial" w:cs="Arial"/>
        </w:rPr>
        <w:t>s</w:t>
      </w:r>
      <w:r w:rsidRPr="00D056D9">
        <w:rPr>
          <w:rFonts w:ascii="Arial" w:hAnsi="Arial" w:cs="Arial"/>
        </w:rPr>
        <w:t xml:space="preserve"> all types of long-term and short-term loans </w:t>
      </w:r>
      <w:r>
        <w:rPr>
          <w:rFonts w:ascii="Arial" w:hAnsi="Arial" w:cs="Arial"/>
        </w:rPr>
        <w:t>(including group’s cash pool), guarantees</w:t>
      </w:r>
      <w:r w:rsidRPr="00D056D9">
        <w:rPr>
          <w:rFonts w:ascii="Arial" w:hAnsi="Arial" w:cs="Arial"/>
        </w:rPr>
        <w:t xml:space="preserve">, all types of interest-bearing </w:t>
      </w:r>
      <w:r>
        <w:rPr>
          <w:rFonts w:ascii="Arial" w:hAnsi="Arial" w:cs="Arial"/>
        </w:rPr>
        <w:t xml:space="preserve">advance </w:t>
      </w:r>
      <w:r w:rsidRPr="00D056D9">
        <w:rPr>
          <w:rFonts w:ascii="Arial" w:hAnsi="Arial" w:cs="Arial"/>
        </w:rPr>
        <w:t>payments</w:t>
      </w:r>
      <w:r>
        <w:rPr>
          <w:rFonts w:ascii="Arial" w:hAnsi="Arial" w:cs="Arial"/>
        </w:rPr>
        <w:t xml:space="preserve"> and deferred receivables or payables, </w:t>
      </w:r>
      <w:r w:rsidRPr="00D056D9">
        <w:rPr>
          <w:rFonts w:ascii="Arial" w:hAnsi="Arial" w:cs="Arial"/>
        </w:rPr>
        <w:t>etc</w:t>
      </w:r>
      <w:r>
        <w:rPr>
          <w:rFonts w:ascii="Arial" w:hAnsi="Arial" w:cs="Arial"/>
        </w:rPr>
        <w:t xml:space="preserve">. </w:t>
      </w:r>
    </w:p>
    <w:p w:rsidR="005B19D8" w:rsidRPr="00D056D9" w:rsidRDefault="005B19D8" w:rsidP="004132A5">
      <w:pPr>
        <w:pStyle w:val="ListParagraph"/>
        <w:jc w:val="both"/>
        <w:rPr>
          <w:rFonts w:ascii="Arial" w:hAnsi="Arial" w:cs="Arial"/>
        </w:rPr>
      </w:pPr>
    </w:p>
    <w:p w:rsidR="005B19D8" w:rsidRDefault="005B19D8" w:rsidP="00EC42C0">
      <w:pPr>
        <w:pStyle w:val="ListParagraph"/>
        <w:numPr>
          <w:ilvl w:val="0"/>
          <w:numId w:val="3"/>
        </w:numPr>
        <w:tabs>
          <w:tab w:val="clear" w:pos="720"/>
        </w:tabs>
        <w:spacing w:before="240" w:after="0" w:line="240" w:lineRule="auto"/>
        <w:ind w:left="851" w:hanging="425"/>
        <w:jc w:val="both"/>
        <w:rPr>
          <w:rFonts w:ascii="Arial" w:hAnsi="Arial" w:cs="Arial"/>
        </w:rPr>
      </w:pPr>
      <w:r w:rsidRPr="00D056D9">
        <w:rPr>
          <w:rFonts w:ascii="Arial" w:hAnsi="Arial" w:cs="Arial"/>
        </w:rPr>
        <w:t>Service</w:t>
      </w:r>
      <w:r>
        <w:rPr>
          <w:rFonts w:ascii="Arial" w:hAnsi="Arial" w:cs="Arial"/>
        </w:rPr>
        <w:t>s</w:t>
      </w:r>
      <w:r w:rsidRPr="00D056D9">
        <w:rPr>
          <w:rFonts w:ascii="Arial" w:hAnsi="Arial" w:cs="Arial"/>
        </w:rPr>
        <w:t>.</w:t>
      </w:r>
      <w:r>
        <w:rPr>
          <w:rFonts w:ascii="Arial" w:hAnsi="Arial" w:cs="Arial"/>
        </w:rPr>
        <w:t xml:space="preserve"> </w:t>
      </w:r>
      <w:r w:rsidRPr="00D056D9">
        <w:rPr>
          <w:rFonts w:ascii="Arial" w:hAnsi="Arial" w:cs="Arial"/>
        </w:rPr>
        <w:t xml:space="preserve"> Services include market </w:t>
      </w:r>
      <w:r>
        <w:rPr>
          <w:rFonts w:ascii="Arial" w:hAnsi="Arial" w:cs="Arial"/>
        </w:rPr>
        <w:t>survey</w:t>
      </w:r>
      <w:r w:rsidRPr="00D056D9">
        <w:rPr>
          <w:rFonts w:ascii="Arial" w:hAnsi="Arial" w:cs="Arial"/>
        </w:rPr>
        <w:t xml:space="preserve">, marketing planning, agency, design, consulting, </w:t>
      </w:r>
      <w:r>
        <w:rPr>
          <w:rFonts w:ascii="Arial" w:hAnsi="Arial" w:cs="Arial"/>
        </w:rPr>
        <w:t>administrative services</w:t>
      </w:r>
      <w:r w:rsidRPr="00D056D9">
        <w:rPr>
          <w:rFonts w:ascii="Arial" w:hAnsi="Arial" w:cs="Arial"/>
        </w:rPr>
        <w:t xml:space="preserve">, technical services, contract research and development, </w:t>
      </w:r>
      <w:r>
        <w:rPr>
          <w:rFonts w:ascii="Arial" w:hAnsi="Arial" w:cs="Arial"/>
        </w:rPr>
        <w:t>maintenance services</w:t>
      </w:r>
      <w:r w:rsidRPr="00D056D9">
        <w:rPr>
          <w:rFonts w:ascii="Arial" w:hAnsi="Arial" w:cs="Arial"/>
        </w:rPr>
        <w:t>, legal</w:t>
      </w:r>
      <w:r>
        <w:rPr>
          <w:rFonts w:ascii="Arial" w:hAnsi="Arial" w:cs="Arial"/>
        </w:rPr>
        <w:t xml:space="preserve"> services</w:t>
      </w:r>
      <w:r w:rsidRPr="00D056D9">
        <w:rPr>
          <w:rFonts w:ascii="Arial" w:hAnsi="Arial" w:cs="Arial"/>
        </w:rPr>
        <w:t xml:space="preserve">, </w:t>
      </w:r>
      <w:r>
        <w:rPr>
          <w:rFonts w:ascii="Arial" w:hAnsi="Arial" w:cs="Arial"/>
        </w:rPr>
        <w:t>financial services</w:t>
      </w:r>
      <w:r w:rsidRPr="00D056D9">
        <w:rPr>
          <w:rFonts w:ascii="Arial" w:hAnsi="Arial" w:cs="Arial"/>
        </w:rPr>
        <w:t>, audit, recruitment, training</w:t>
      </w:r>
      <w:r>
        <w:rPr>
          <w:rFonts w:ascii="Arial" w:hAnsi="Arial" w:cs="Arial"/>
        </w:rPr>
        <w:t>, centralised procurement, etc.</w:t>
      </w:r>
    </w:p>
    <w:p w:rsidR="005B19D8" w:rsidRPr="005973E5" w:rsidRDefault="005B19D8" w:rsidP="004132A5">
      <w:pPr>
        <w:pStyle w:val="ListParagraph"/>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Tax r</w:t>
      </w:r>
      <w:r w:rsidRPr="001C5AD7">
        <w:rPr>
          <w:rFonts w:ascii="Arial" w:hAnsi="Arial" w:cs="Arial"/>
        </w:rPr>
        <w:t xml:space="preserve">esident enterprises that fall into any of the following </w:t>
      </w:r>
      <w:r>
        <w:rPr>
          <w:rFonts w:ascii="Arial" w:hAnsi="Arial" w:cs="Arial"/>
        </w:rPr>
        <w:t>categories</w:t>
      </w:r>
      <w:r w:rsidRPr="001C5AD7">
        <w:rPr>
          <w:rFonts w:ascii="Arial" w:hAnsi="Arial" w:cs="Arial"/>
        </w:rPr>
        <w:t xml:space="preserve"> shall </w:t>
      </w:r>
      <w:r>
        <w:rPr>
          <w:rFonts w:ascii="Arial" w:hAnsi="Arial" w:cs="Arial"/>
        </w:rPr>
        <w:t>file</w:t>
      </w:r>
      <w:r w:rsidRPr="001C5AD7">
        <w:rPr>
          <w:rFonts w:ascii="Arial" w:hAnsi="Arial" w:cs="Arial"/>
        </w:rPr>
        <w:t xml:space="preserve"> t</w:t>
      </w:r>
      <w:r>
        <w:rPr>
          <w:rFonts w:ascii="Arial" w:hAnsi="Arial" w:cs="Arial"/>
        </w:rPr>
        <w:t xml:space="preserve">he Country-by-Country Report </w:t>
      </w:r>
      <w:r w:rsidRPr="001C5AD7">
        <w:rPr>
          <w:rFonts w:ascii="Arial" w:hAnsi="Arial" w:cs="Arial"/>
        </w:rPr>
        <w:t xml:space="preserve">at the time of submitting their “Annual </w:t>
      </w:r>
      <w:r>
        <w:rPr>
          <w:rFonts w:ascii="Arial" w:hAnsi="Arial" w:cs="Arial"/>
        </w:rPr>
        <w:t xml:space="preserve">Related Party Transactions </w:t>
      </w:r>
      <w:r w:rsidRPr="001C5AD7">
        <w:rPr>
          <w:rFonts w:ascii="Arial" w:hAnsi="Arial" w:cs="Arial"/>
        </w:rPr>
        <w:t>Reporting Forms”</w:t>
      </w:r>
      <w:r>
        <w:rPr>
          <w:rFonts w:ascii="Arial" w:hAnsi="Arial" w:cs="Arial"/>
        </w:rPr>
        <w:t>:</w:t>
      </w:r>
    </w:p>
    <w:p w:rsidR="005B19D8" w:rsidRPr="001C5AD7" w:rsidRDefault="005B19D8" w:rsidP="004132A5">
      <w:pPr>
        <w:pStyle w:val="ListParagraph"/>
        <w:ind w:left="426"/>
        <w:jc w:val="both"/>
        <w:rPr>
          <w:rFonts w:ascii="Arial" w:hAnsi="Arial" w:cs="Arial"/>
        </w:rPr>
      </w:pPr>
    </w:p>
    <w:p w:rsidR="005B19D8" w:rsidRDefault="005B19D8" w:rsidP="00EC42C0">
      <w:pPr>
        <w:pStyle w:val="ListParagraph"/>
        <w:numPr>
          <w:ilvl w:val="0"/>
          <w:numId w:val="4"/>
        </w:numPr>
        <w:tabs>
          <w:tab w:val="clear" w:pos="720"/>
        </w:tabs>
        <w:spacing w:before="240" w:after="0" w:line="240" w:lineRule="auto"/>
        <w:ind w:left="851" w:hanging="491"/>
        <w:jc w:val="both"/>
        <w:rPr>
          <w:rFonts w:ascii="Arial" w:hAnsi="Arial" w:cs="Arial"/>
        </w:rPr>
      </w:pPr>
      <w:r w:rsidRPr="005973E5">
        <w:rPr>
          <w:rFonts w:ascii="Arial" w:hAnsi="Arial" w:cs="Arial"/>
        </w:rPr>
        <w:t xml:space="preserve">The resident enterprise is the ultimate holding company of a </w:t>
      </w:r>
      <w:r>
        <w:rPr>
          <w:rFonts w:ascii="Arial" w:hAnsi="Arial" w:cs="Arial"/>
        </w:rPr>
        <w:t xml:space="preserve">multinational </w:t>
      </w:r>
      <w:r w:rsidRPr="005973E5">
        <w:rPr>
          <w:rFonts w:ascii="Arial" w:hAnsi="Arial" w:cs="Arial"/>
        </w:rPr>
        <w:t>enterprise</w:t>
      </w:r>
      <w:r>
        <w:rPr>
          <w:rFonts w:ascii="Arial" w:hAnsi="Arial" w:cs="Arial"/>
        </w:rPr>
        <w:t>’s</w:t>
      </w:r>
      <w:r w:rsidRPr="005973E5">
        <w:rPr>
          <w:rFonts w:ascii="Arial" w:hAnsi="Arial" w:cs="Arial"/>
        </w:rPr>
        <w:t xml:space="preserve"> </w:t>
      </w:r>
      <w:r>
        <w:rPr>
          <w:rFonts w:ascii="Arial" w:hAnsi="Arial" w:cs="Arial"/>
        </w:rPr>
        <w:t xml:space="preserve">(hereafter referred to as the “MNE”) </w:t>
      </w:r>
      <w:r w:rsidRPr="005973E5">
        <w:rPr>
          <w:rFonts w:ascii="Arial" w:hAnsi="Arial" w:cs="Arial"/>
        </w:rPr>
        <w:t>group</w:t>
      </w:r>
      <w:r>
        <w:rPr>
          <w:rFonts w:ascii="Arial" w:hAnsi="Arial" w:cs="Arial"/>
        </w:rPr>
        <w:t xml:space="preserve">  having total consolidated group revenue of more than 5.5 billion RMB during the fiscal year immediately preceding the reporting fiscal year as reflected in its consolidated financial statements for such preceding fiscal year. </w:t>
      </w:r>
    </w:p>
    <w:p w:rsidR="005B19D8" w:rsidRPr="003911F0" w:rsidRDefault="005B19D8" w:rsidP="004132A5">
      <w:pPr>
        <w:spacing w:before="240" w:after="0" w:line="240" w:lineRule="auto"/>
        <w:ind w:left="851"/>
        <w:jc w:val="both"/>
        <w:rPr>
          <w:rFonts w:ascii="Arial" w:hAnsi="Arial" w:cs="Arial"/>
        </w:rPr>
      </w:pPr>
      <w:r>
        <w:rPr>
          <w:rFonts w:ascii="Arial" w:hAnsi="Arial" w:cs="Arial"/>
        </w:rPr>
        <w:t>Ultimate holding company is the enterprise that can</w:t>
      </w:r>
      <w:r w:rsidRPr="00FA15B3">
        <w:rPr>
          <w:rFonts w:ascii="Arial" w:hAnsi="Arial" w:cs="Arial"/>
        </w:rPr>
        <w:t xml:space="preserve"> </w:t>
      </w:r>
      <w:r>
        <w:rPr>
          <w:rFonts w:ascii="Arial" w:hAnsi="Arial" w:cs="Arial"/>
        </w:rPr>
        <w:t>consolidate</w:t>
      </w:r>
      <w:r w:rsidRPr="00FA15B3">
        <w:rPr>
          <w:rFonts w:ascii="Arial" w:hAnsi="Arial" w:cs="Arial"/>
        </w:rPr>
        <w:t xml:space="preserve"> </w:t>
      </w:r>
      <w:r>
        <w:rPr>
          <w:rFonts w:ascii="Arial" w:hAnsi="Arial" w:cs="Arial"/>
        </w:rPr>
        <w:t xml:space="preserve">the financial statements of </w:t>
      </w:r>
      <w:r w:rsidRPr="00FA15B3">
        <w:rPr>
          <w:rFonts w:ascii="Arial" w:hAnsi="Arial" w:cs="Arial"/>
        </w:rPr>
        <w:t xml:space="preserve">all </w:t>
      </w:r>
      <w:r>
        <w:rPr>
          <w:rFonts w:ascii="Arial" w:hAnsi="Arial" w:cs="Arial"/>
        </w:rPr>
        <w:t>constituent</w:t>
      </w:r>
      <w:r w:rsidRPr="003F30B4">
        <w:rPr>
          <w:rFonts w:ascii="Arial" w:hAnsi="Arial" w:cs="Arial"/>
        </w:rPr>
        <w:t xml:space="preserve"> entities</w:t>
      </w:r>
      <w:r w:rsidRPr="00FA15B3">
        <w:rPr>
          <w:rFonts w:ascii="Arial" w:hAnsi="Arial" w:cs="Arial"/>
        </w:rPr>
        <w:t xml:space="preserve"> </w:t>
      </w:r>
      <w:r>
        <w:rPr>
          <w:rFonts w:ascii="Arial" w:hAnsi="Arial" w:cs="Arial"/>
        </w:rPr>
        <w:t>that belong to</w:t>
      </w:r>
      <w:r w:rsidRPr="00FA15B3">
        <w:rPr>
          <w:rFonts w:ascii="Arial" w:hAnsi="Arial" w:cs="Arial"/>
        </w:rPr>
        <w:t xml:space="preserve"> its </w:t>
      </w:r>
      <w:r>
        <w:rPr>
          <w:rFonts w:ascii="Arial" w:hAnsi="Arial" w:cs="Arial"/>
        </w:rPr>
        <w:t>MNE group and cannot be</w:t>
      </w:r>
      <w:r w:rsidRPr="005973E5">
        <w:rPr>
          <w:rFonts w:ascii="Arial" w:hAnsi="Arial" w:cs="Arial"/>
        </w:rPr>
        <w:t xml:space="preserve"> included in the c</w:t>
      </w:r>
      <w:r>
        <w:rPr>
          <w:rFonts w:ascii="Arial" w:hAnsi="Arial" w:cs="Arial"/>
        </w:rPr>
        <w:t>onsolidated financial statements of another enterprise.</w:t>
      </w:r>
    </w:p>
    <w:p w:rsidR="005B19D8" w:rsidRDefault="005B19D8" w:rsidP="004132A5">
      <w:pPr>
        <w:pStyle w:val="ListParagraph"/>
        <w:spacing w:before="240" w:after="0" w:line="240" w:lineRule="auto"/>
        <w:ind w:left="851"/>
        <w:jc w:val="both"/>
        <w:rPr>
          <w:rFonts w:ascii="Arial" w:hAnsi="Arial" w:cs="Arial"/>
        </w:rPr>
      </w:pPr>
      <w:r>
        <w:rPr>
          <w:rFonts w:ascii="Arial" w:hAnsi="Arial" w:cs="Arial"/>
        </w:rPr>
        <w:t>Constituent entities shall include:</w:t>
      </w:r>
    </w:p>
    <w:p w:rsidR="005B19D8"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20"/>
        </w:numPr>
        <w:spacing w:before="240" w:after="0" w:line="240" w:lineRule="auto"/>
        <w:jc w:val="both"/>
        <w:rPr>
          <w:rFonts w:ascii="Arial" w:hAnsi="Arial" w:cs="Arial"/>
        </w:rPr>
      </w:pPr>
      <w:r>
        <w:rPr>
          <w:rFonts w:ascii="Arial" w:hAnsi="Arial" w:cs="Arial"/>
        </w:rPr>
        <w:t>Any entity that is included in the consolidated financial statements of the MNE group.</w:t>
      </w:r>
    </w:p>
    <w:p w:rsidR="005B19D8" w:rsidRDefault="005B19D8" w:rsidP="004132A5">
      <w:pPr>
        <w:pStyle w:val="ListParagraph"/>
        <w:spacing w:before="240" w:after="0" w:line="240" w:lineRule="auto"/>
        <w:ind w:left="1211"/>
        <w:jc w:val="both"/>
        <w:rPr>
          <w:rFonts w:ascii="Arial" w:hAnsi="Arial" w:cs="Arial"/>
        </w:rPr>
      </w:pPr>
    </w:p>
    <w:p w:rsidR="005B19D8" w:rsidRDefault="005B19D8" w:rsidP="00EC42C0">
      <w:pPr>
        <w:pStyle w:val="ListParagraph"/>
        <w:numPr>
          <w:ilvl w:val="0"/>
          <w:numId w:val="20"/>
        </w:numPr>
        <w:spacing w:before="240" w:after="0" w:line="240" w:lineRule="auto"/>
        <w:jc w:val="both"/>
        <w:rPr>
          <w:rFonts w:ascii="Arial" w:hAnsi="Arial" w:cs="Arial"/>
        </w:rPr>
      </w:pPr>
      <w:r>
        <w:rPr>
          <w:rFonts w:ascii="Arial" w:hAnsi="Arial" w:cs="Arial"/>
        </w:rPr>
        <w:t xml:space="preserve">Any entity that would be included in the consolidated financial statements of the MNE group if equity interest in such entity were traded on a public securities exchange. </w:t>
      </w:r>
    </w:p>
    <w:p w:rsidR="005B19D8" w:rsidRPr="003911F0" w:rsidRDefault="005B19D8" w:rsidP="004132A5">
      <w:pPr>
        <w:pStyle w:val="ListParagraph"/>
        <w:rPr>
          <w:rFonts w:ascii="Arial" w:hAnsi="Arial" w:cs="Arial"/>
        </w:rPr>
      </w:pPr>
    </w:p>
    <w:p w:rsidR="005B19D8" w:rsidRDefault="005B19D8" w:rsidP="00EC42C0">
      <w:pPr>
        <w:pStyle w:val="ListParagraph"/>
        <w:numPr>
          <w:ilvl w:val="0"/>
          <w:numId w:val="20"/>
        </w:numPr>
        <w:spacing w:before="240" w:after="0" w:line="240" w:lineRule="auto"/>
        <w:jc w:val="both"/>
        <w:rPr>
          <w:rFonts w:ascii="Arial" w:hAnsi="Arial" w:cs="Arial"/>
        </w:rPr>
      </w:pPr>
      <w:r>
        <w:rPr>
          <w:rFonts w:ascii="Arial" w:hAnsi="Arial" w:cs="Arial"/>
        </w:rPr>
        <w:t>A</w:t>
      </w:r>
      <w:r w:rsidRPr="00530CC4">
        <w:rPr>
          <w:rFonts w:ascii="Arial" w:hAnsi="Arial" w:cs="Arial"/>
        </w:rPr>
        <w:t xml:space="preserve">ny </w:t>
      </w:r>
      <w:r>
        <w:rPr>
          <w:rFonts w:ascii="Arial" w:hAnsi="Arial" w:cs="Arial"/>
        </w:rPr>
        <w:t>entity</w:t>
      </w:r>
      <w:r w:rsidRPr="003911F0">
        <w:rPr>
          <w:rFonts w:ascii="Arial" w:hAnsi="Arial" w:cs="Arial"/>
        </w:rPr>
        <w:t xml:space="preserve"> that is excluded from </w:t>
      </w:r>
      <w:r>
        <w:rPr>
          <w:rFonts w:ascii="Arial" w:hAnsi="Arial" w:cs="Arial"/>
        </w:rPr>
        <w:t>the consolidated financial statements of the MNE group</w:t>
      </w:r>
      <w:r w:rsidRPr="003911F0">
        <w:rPr>
          <w:rFonts w:ascii="Arial" w:hAnsi="Arial" w:cs="Arial"/>
        </w:rPr>
        <w:t xml:space="preserve"> solely on</w:t>
      </w:r>
      <w:r>
        <w:rPr>
          <w:rFonts w:ascii="Arial" w:hAnsi="Arial" w:cs="Arial"/>
        </w:rPr>
        <w:t xml:space="preserve"> </w:t>
      </w:r>
      <w:r w:rsidRPr="003911F0">
        <w:rPr>
          <w:rFonts w:ascii="Arial" w:hAnsi="Arial" w:cs="Arial"/>
        </w:rPr>
        <w:t>size or materiality grounds</w:t>
      </w:r>
      <w:r>
        <w:rPr>
          <w:rFonts w:ascii="Arial" w:hAnsi="Arial" w:cs="Arial"/>
        </w:rPr>
        <w:t>.</w:t>
      </w:r>
    </w:p>
    <w:p w:rsidR="005B19D8" w:rsidRPr="003911F0" w:rsidRDefault="005B19D8" w:rsidP="004132A5">
      <w:pPr>
        <w:pStyle w:val="ListParagraph"/>
        <w:rPr>
          <w:rFonts w:ascii="Arial" w:hAnsi="Arial" w:cs="Arial"/>
        </w:rPr>
      </w:pPr>
    </w:p>
    <w:p w:rsidR="005B19D8" w:rsidRPr="003911F0" w:rsidRDefault="005B19D8" w:rsidP="00EC42C0">
      <w:pPr>
        <w:pStyle w:val="ListParagraph"/>
        <w:numPr>
          <w:ilvl w:val="0"/>
          <w:numId w:val="20"/>
        </w:numPr>
        <w:spacing w:before="240" w:after="0" w:line="240" w:lineRule="auto"/>
        <w:jc w:val="both"/>
        <w:rPr>
          <w:rFonts w:ascii="Arial" w:hAnsi="Arial" w:cs="Arial"/>
        </w:rPr>
      </w:pPr>
      <w:r>
        <w:rPr>
          <w:rFonts w:ascii="Arial" w:hAnsi="Arial" w:cs="Arial"/>
        </w:rPr>
        <w:t>A</w:t>
      </w:r>
      <w:r w:rsidRPr="00922ACE">
        <w:rPr>
          <w:rFonts w:ascii="Arial" w:hAnsi="Arial" w:cs="Arial"/>
        </w:rPr>
        <w:t xml:space="preserve">ny permanent establishment </w:t>
      </w:r>
      <w:r>
        <w:rPr>
          <w:rFonts w:ascii="Arial" w:hAnsi="Arial" w:cs="Arial"/>
        </w:rPr>
        <w:t>that</w:t>
      </w:r>
      <w:r w:rsidRPr="003911F0">
        <w:rPr>
          <w:rFonts w:ascii="Arial" w:hAnsi="Arial" w:cs="Arial"/>
        </w:rPr>
        <w:t xml:space="preserve"> prepares</w:t>
      </w:r>
      <w:r>
        <w:rPr>
          <w:rFonts w:ascii="Arial" w:hAnsi="Arial" w:cs="Arial"/>
        </w:rPr>
        <w:t xml:space="preserve"> a</w:t>
      </w:r>
      <w:r w:rsidRPr="003911F0">
        <w:rPr>
          <w:rFonts w:ascii="Arial" w:hAnsi="Arial" w:cs="Arial"/>
        </w:rPr>
        <w:t xml:space="preserve"> separate financial statement</w:t>
      </w:r>
      <w:r>
        <w:rPr>
          <w:rFonts w:ascii="Arial" w:hAnsi="Arial" w:cs="Arial"/>
        </w:rPr>
        <w:t>.</w:t>
      </w:r>
    </w:p>
    <w:p w:rsidR="005B19D8" w:rsidRDefault="005B19D8" w:rsidP="004132A5">
      <w:pPr>
        <w:pStyle w:val="ListParagraph"/>
        <w:spacing w:before="240" w:after="0" w:line="240" w:lineRule="auto"/>
        <w:ind w:left="851"/>
        <w:jc w:val="both"/>
        <w:rPr>
          <w:rFonts w:ascii="Arial" w:hAnsi="Arial" w:cs="Arial"/>
        </w:rPr>
      </w:pPr>
    </w:p>
    <w:p w:rsidR="005B19D8" w:rsidRPr="003911F0" w:rsidRDefault="005B19D8" w:rsidP="00EC42C0">
      <w:pPr>
        <w:pStyle w:val="ListParagraph"/>
        <w:numPr>
          <w:ilvl w:val="0"/>
          <w:numId w:val="4"/>
        </w:numPr>
        <w:tabs>
          <w:tab w:val="clear" w:pos="720"/>
        </w:tabs>
        <w:spacing w:before="240" w:after="0" w:line="240" w:lineRule="auto"/>
        <w:ind w:left="851" w:hanging="491"/>
        <w:jc w:val="both"/>
        <w:rPr>
          <w:rFonts w:ascii="Arial" w:hAnsi="Arial" w:cs="Arial"/>
        </w:rPr>
      </w:pPr>
      <w:r w:rsidRPr="005973E5">
        <w:rPr>
          <w:rFonts w:ascii="Arial" w:hAnsi="Arial" w:cs="Arial"/>
        </w:rPr>
        <w:t xml:space="preserve">The resident enterprise </w:t>
      </w:r>
      <w:r>
        <w:rPr>
          <w:rFonts w:ascii="Arial" w:hAnsi="Arial" w:cs="Arial"/>
        </w:rPr>
        <w:t>that has been appointed by the MNE group to file the Country-by-Country Report</w:t>
      </w:r>
      <w:r w:rsidRPr="005973E5">
        <w:rPr>
          <w:rFonts w:ascii="Arial" w:hAnsi="Arial" w:cs="Arial"/>
        </w:rPr>
        <w:t xml:space="preserve">. </w:t>
      </w:r>
    </w:p>
    <w:p w:rsidR="005B19D8" w:rsidRPr="001C5AD7" w:rsidRDefault="005B19D8" w:rsidP="004132A5">
      <w:pPr>
        <w:spacing w:before="240" w:after="0" w:line="240" w:lineRule="auto"/>
        <w:ind w:left="360"/>
        <w:jc w:val="both"/>
        <w:rPr>
          <w:rFonts w:ascii="Arial" w:hAnsi="Arial" w:cs="Arial"/>
        </w:rPr>
      </w:pPr>
      <w:r>
        <w:rPr>
          <w:rFonts w:ascii="Arial" w:hAnsi="Arial" w:cs="Arial"/>
        </w:rPr>
        <w:t xml:space="preserve">The Country-by-Country Report is to disclose information relating to the global income, taxes and business activities of </w:t>
      </w:r>
      <w:r w:rsidRPr="003F30B4">
        <w:rPr>
          <w:rFonts w:ascii="Arial" w:hAnsi="Arial" w:cs="Arial"/>
        </w:rPr>
        <w:t xml:space="preserve">all </w:t>
      </w:r>
      <w:r>
        <w:rPr>
          <w:rFonts w:ascii="Arial" w:hAnsi="Arial" w:cs="Arial"/>
        </w:rPr>
        <w:t>constituent</w:t>
      </w:r>
      <w:r w:rsidRPr="003F30B4">
        <w:rPr>
          <w:rFonts w:ascii="Arial" w:hAnsi="Arial" w:cs="Arial"/>
        </w:rPr>
        <w:t xml:space="preserve"> entities </w:t>
      </w:r>
      <w:r>
        <w:rPr>
          <w:rFonts w:ascii="Arial" w:hAnsi="Arial" w:cs="Arial"/>
        </w:rPr>
        <w:t xml:space="preserve">of the MNE group to which the ultimate holding company belongs on a country-by-country basis.  </w:t>
      </w:r>
    </w:p>
    <w:p w:rsidR="005B19D8"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For a MNE</w:t>
      </w:r>
      <w:r w:rsidRPr="00470F5C">
        <w:rPr>
          <w:rFonts w:ascii="Arial" w:hAnsi="Arial" w:cs="Arial"/>
        </w:rPr>
        <w:t xml:space="preserve"> </w:t>
      </w:r>
      <w:r>
        <w:rPr>
          <w:rFonts w:ascii="Arial" w:hAnsi="Arial" w:cs="Arial"/>
        </w:rPr>
        <w:t>group whose u</w:t>
      </w:r>
      <w:r w:rsidRPr="00470F5C">
        <w:rPr>
          <w:rFonts w:ascii="Arial" w:hAnsi="Arial" w:cs="Arial"/>
        </w:rPr>
        <w:t xml:space="preserve">ltimate holding company </w:t>
      </w:r>
      <w:r>
        <w:rPr>
          <w:rFonts w:ascii="Arial" w:hAnsi="Arial" w:cs="Arial"/>
        </w:rPr>
        <w:t xml:space="preserve">is a </w:t>
      </w:r>
      <w:r w:rsidRPr="002D59C2">
        <w:rPr>
          <w:rFonts w:ascii="Arial" w:hAnsi="Arial" w:cs="Arial"/>
        </w:rPr>
        <w:t>resident enterprise</w:t>
      </w:r>
      <w:r>
        <w:rPr>
          <w:rFonts w:ascii="Arial" w:hAnsi="Arial" w:cs="Arial"/>
        </w:rPr>
        <w:t xml:space="preserve"> in PRC, if its information is related to national security, it can be exempted from filing the Country-by-Country Report in whole or in part in accordance with the applicable laws and regulations. </w:t>
      </w:r>
    </w:p>
    <w:p w:rsidR="005B19D8"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Tax administrations may exchange the</w:t>
      </w:r>
      <w:r w:rsidRPr="006D4218">
        <w:rPr>
          <w:rFonts w:ascii="Arial" w:hAnsi="Arial" w:cs="Arial"/>
        </w:rPr>
        <w:t xml:space="preserve"> </w:t>
      </w:r>
      <w:r>
        <w:rPr>
          <w:rFonts w:ascii="Arial" w:hAnsi="Arial" w:cs="Arial"/>
        </w:rPr>
        <w:t>Country-by-Country Report in accordance with tax treaties, agreements or arrangements that PRC has entered into</w:t>
      </w:r>
      <w:r w:rsidRPr="006D4218">
        <w:rPr>
          <w:rFonts w:ascii="Arial" w:hAnsi="Arial" w:cs="Arial"/>
        </w:rPr>
        <w:t>.</w:t>
      </w:r>
    </w:p>
    <w:p w:rsidR="005B19D8" w:rsidRDefault="005B19D8" w:rsidP="004132A5">
      <w:pPr>
        <w:pStyle w:val="ListParagraph"/>
        <w:ind w:left="426"/>
        <w:jc w:val="both"/>
        <w:rPr>
          <w:rFonts w:ascii="Arial" w:eastAsia="仿宋" w:hAnsi="Arial" w:cs="Times New Roman"/>
        </w:rPr>
      </w:pPr>
    </w:p>
    <w:p w:rsidR="005B19D8" w:rsidRPr="00497315" w:rsidRDefault="005B19D8" w:rsidP="00EC42C0">
      <w:pPr>
        <w:pStyle w:val="ListParagraph"/>
        <w:numPr>
          <w:ilvl w:val="0"/>
          <w:numId w:val="15"/>
        </w:numPr>
        <w:ind w:left="426" w:hanging="426"/>
        <w:jc w:val="both"/>
        <w:rPr>
          <w:rFonts w:ascii="Arial" w:eastAsia="仿宋" w:hAnsi="Arial" w:cs="Arial"/>
        </w:rPr>
      </w:pPr>
      <w:r>
        <w:rPr>
          <w:rFonts w:ascii="Arial" w:eastAsia="仿宋" w:hAnsi="Arial" w:cs="Arial"/>
        </w:rPr>
        <w:t>For an enterprise that is not required to file the Country-by-Country Report under the provisions of Article 5 of this Public Notice, tax administrations can request the enterprise to provide the Country-by-Country Report during a special tax investigation if the MNE</w:t>
      </w:r>
      <w:r w:rsidRPr="00497315">
        <w:rPr>
          <w:rFonts w:ascii="Arial" w:eastAsia="仿宋" w:hAnsi="Arial" w:cs="Arial"/>
        </w:rPr>
        <w:t xml:space="preserve"> </w:t>
      </w:r>
      <w:r>
        <w:rPr>
          <w:rFonts w:ascii="Arial" w:eastAsia="仿宋" w:hAnsi="Arial" w:cs="Arial"/>
        </w:rPr>
        <w:t>to which the enterprise belongs is required</w:t>
      </w:r>
      <w:r w:rsidRPr="00497315">
        <w:rPr>
          <w:rFonts w:ascii="Arial" w:eastAsia="仿宋" w:hAnsi="Arial" w:cs="Arial"/>
        </w:rPr>
        <w:t xml:space="preserve"> to prepare the Country-by-Country Report in accordance with the </w:t>
      </w:r>
      <w:r>
        <w:rPr>
          <w:rFonts w:ascii="Arial" w:eastAsia="仿宋" w:hAnsi="Arial" w:cs="Arial"/>
        </w:rPr>
        <w:t xml:space="preserve">relevant </w:t>
      </w:r>
      <w:r w:rsidRPr="00497315">
        <w:rPr>
          <w:rFonts w:ascii="Arial" w:eastAsia="仿宋" w:hAnsi="Arial" w:cs="Arial"/>
        </w:rPr>
        <w:t>regulation</w:t>
      </w:r>
      <w:r>
        <w:rPr>
          <w:rFonts w:ascii="Arial" w:eastAsia="仿宋" w:hAnsi="Arial" w:cs="Arial"/>
        </w:rPr>
        <w:t>s</w:t>
      </w:r>
      <w:r w:rsidRPr="00497315">
        <w:rPr>
          <w:rFonts w:ascii="Arial" w:eastAsia="仿宋" w:hAnsi="Arial" w:cs="Arial"/>
        </w:rPr>
        <w:t xml:space="preserve"> of another country</w:t>
      </w:r>
      <w:r>
        <w:rPr>
          <w:rFonts w:ascii="Arial" w:eastAsia="仿宋" w:hAnsi="Arial" w:cs="Arial"/>
        </w:rPr>
        <w:t xml:space="preserve"> and</w:t>
      </w:r>
      <w:r w:rsidRPr="00497315">
        <w:rPr>
          <w:rFonts w:ascii="Arial" w:eastAsia="仿宋" w:hAnsi="Arial" w:cs="Arial"/>
        </w:rPr>
        <w:t xml:space="preserve"> one of the following conditions is met:</w:t>
      </w:r>
    </w:p>
    <w:p w:rsidR="005B19D8" w:rsidRDefault="005B19D8" w:rsidP="004132A5">
      <w:pPr>
        <w:pStyle w:val="ListParagraph"/>
        <w:spacing w:before="240" w:after="0" w:line="240" w:lineRule="auto"/>
        <w:jc w:val="both"/>
        <w:rPr>
          <w:rFonts w:ascii="Arial" w:hAnsi="Arial" w:cs="Arial"/>
        </w:rPr>
      </w:pPr>
    </w:p>
    <w:p w:rsidR="005B19D8" w:rsidRPr="002A75E4" w:rsidRDefault="005B19D8" w:rsidP="00EC42C0">
      <w:pPr>
        <w:pStyle w:val="ListParagraph"/>
        <w:numPr>
          <w:ilvl w:val="0"/>
          <w:numId w:val="5"/>
        </w:numPr>
        <w:tabs>
          <w:tab w:val="clear" w:pos="720"/>
        </w:tabs>
        <w:spacing w:before="240" w:after="0" w:line="240" w:lineRule="auto"/>
        <w:ind w:left="851" w:hanging="491"/>
        <w:jc w:val="both"/>
        <w:rPr>
          <w:rFonts w:ascii="Arial" w:hAnsi="Arial" w:cs="Arial"/>
        </w:rPr>
      </w:pPr>
      <w:r w:rsidRPr="002A75E4">
        <w:rPr>
          <w:rFonts w:ascii="Arial" w:hAnsi="Arial" w:cs="Arial"/>
        </w:rPr>
        <w:t xml:space="preserve">The </w:t>
      </w:r>
      <w:r>
        <w:rPr>
          <w:rFonts w:ascii="Arial" w:hAnsi="Arial" w:cs="Arial"/>
        </w:rPr>
        <w:t>MNE</w:t>
      </w:r>
      <w:r w:rsidRPr="002A75E4">
        <w:rPr>
          <w:rFonts w:ascii="Arial" w:hAnsi="Arial" w:cs="Arial"/>
        </w:rPr>
        <w:t xml:space="preserve"> has not </w:t>
      </w:r>
      <w:r>
        <w:rPr>
          <w:rFonts w:ascii="Arial" w:hAnsi="Arial" w:cs="Arial"/>
        </w:rPr>
        <w:t>filed</w:t>
      </w:r>
      <w:r w:rsidRPr="002A75E4">
        <w:rPr>
          <w:rFonts w:ascii="Arial" w:hAnsi="Arial" w:cs="Arial"/>
        </w:rPr>
        <w:t xml:space="preserve"> the Country-by-Country Report to</w:t>
      </w:r>
      <w:r>
        <w:rPr>
          <w:rFonts w:ascii="Arial" w:hAnsi="Arial" w:cs="Arial"/>
        </w:rPr>
        <w:t xml:space="preserve"> any other countries. </w:t>
      </w:r>
    </w:p>
    <w:p w:rsidR="005B19D8" w:rsidRDefault="005B19D8" w:rsidP="00EC42C0">
      <w:pPr>
        <w:numPr>
          <w:ilvl w:val="0"/>
          <w:numId w:val="5"/>
        </w:numPr>
        <w:tabs>
          <w:tab w:val="clear" w:pos="720"/>
        </w:tabs>
        <w:spacing w:before="240" w:after="0" w:line="240" w:lineRule="auto"/>
        <w:ind w:left="851" w:hanging="491"/>
        <w:jc w:val="both"/>
        <w:rPr>
          <w:rFonts w:ascii="Arial" w:hAnsi="Arial" w:cs="Arial"/>
        </w:rPr>
      </w:pPr>
      <w:r w:rsidRPr="00B63AC4">
        <w:rPr>
          <w:rFonts w:ascii="Arial" w:hAnsi="Arial" w:cs="Arial"/>
        </w:rPr>
        <w:t xml:space="preserve">Although the </w:t>
      </w:r>
      <w:r>
        <w:rPr>
          <w:rFonts w:ascii="Arial" w:hAnsi="Arial" w:cs="Arial"/>
        </w:rPr>
        <w:t>MNE</w:t>
      </w:r>
      <w:r w:rsidRPr="00B63AC4">
        <w:rPr>
          <w:rFonts w:ascii="Arial" w:hAnsi="Arial" w:cs="Arial"/>
        </w:rPr>
        <w:t xml:space="preserve"> has </w:t>
      </w:r>
      <w:r>
        <w:rPr>
          <w:rFonts w:ascii="Arial" w:hAnsi="Arial" w:cs="Arial"/>
        </w:rPr>
        <w:t>filed</w:t>
      </w:r>
      <w:r w:rsidRPr="00B63AC4">
        <w:rPr>
          <w:rFonts w:ascii="Arial" w:hAnsi="Arial" w:cs="Arial"/>
        </w:rPr>
        <w:t xml:space="preserve"> the Country-by-Country Report to another country, </w:t>
      </w:r>
      <w:r>
        <w:rPr>
          <w:rFonts w:ascii="Arial" w:hAnsi="Arial" w:cs="Arial"/>
        </w:rPr>
        <w:t xml:space="preserve">there is no mechanism in place to exchange Country-by-Country Report between China and that country. </w:t>
      </w:r>
    </w:p>
    <w:p w:rsidR="005B19D8" w:rsidRDefault="005B19D8" w:rsidP="00EC42C0">
      <w:pPr>
        <w:numPr>
          <w:ilvl w:val="0"/>
          <w:numId w:val="5"/>
        </w:numPr>
        <w:tabs>
          <w:tab w:val="clear" w:pos="720"/>
        </w:tabs>
        <w:spacing w:before="240" w:after="0" w:line="240" w:lineRule="auto"/>
        <w:ind w:left="851" w:hanging="491"/>
        <w:jc w:val="both"/>
        <w:rPr>
          <w:rFonts w:ascii="Arial" w:hAnsi="Arial" w:cs="Arial"/>
        </w:rPr>
      </w:pPr>
      <w:r w:rsidRPr="001D18E5">
        <w:rPr>
          <w:rFonts w:ascii="Arial" w:hAnsi="Arial" w:cs="Arial"/>
        </w:rPr>
        <w:t xml:space="preserve">Although the </w:t>
      </w:r>
      <w:r>
        <w:rPr>
          <w:rFonts w:ascii="Arial" w:hAnsi="Arial" w:cs="Arial"/>
        </w:rPr>
        <w:t>MNE</w:t>
      </w:r>
      <w:r w:rsidRPr="001D18E5">
        <w:rPr>
          <w:rFonts w:ascii="Arial" w:hAnsi="Arial" w:cs="Arial"/>
        </w:rPr>
        <w:t xml:space="preserve"> has </w:t>
      </w:r>
      <w:r>
        <w:rPr>
          <w:rFonts w:ascii="Arial" w:hAnsi="Arial" w:cs="Arial"/>
        </w:rPr>
        <w:t>filed</w:t>
      </w:r>
      <w:r w:rsidRPr="001D18E5">
        <w:rPr>
          <w:rFonts w:ascii="Arial" w:hAnsi="Arial" w:cs="Arial"/>
        </w:rPr>
        <w:t xml:space="preserve"> the Country-by-Country Report to another country, and there is </w:t>
      </w:r>
      <w:r>
        <w:rPr>
          <w:rFonts w:ascii="Arial" w:hAnsi="Arial" w:cs="Arial"/>
        </w:rPr>
        <w:t xml:space="preserve">a mechanism in place to </w:t>
      </w:r>
      <w:r w:rsidRPr="001D18E5">
        <w:rPr>
          <w:rFonts w:ascii="Arial" w:hAnsi="Arial" w:cs="Arial"/>
        </w:rPr>
        <w:t>exchange the Country-by-Country Report between China and that country, the Country-by-Country Report has not been successfully exchanged to China.</w:t>
      </w:r>
    </w:p>
    <w:p w:rsidR="005B19D8" w:rsidRPr="003911F0"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 xml:space="preserve">Enterprises that </w:t>
      </w:r>
      <w:r w:rsidRPr="00AC3ECF">
        <w:rPr>
          <w:rFonts w:ascii="Arial" w:hAnsi="Arial" w:cs="Arial"/>
        </w:rPr>
        <w:t xml:space="preserve">encounter </w:t>
      </w:r>
      <w:r>
        <w:rPr>
          <w:rFonts w:ascii="Arial" w:hAnsi="Arial" w:cs="Arial"/>
        </w:rPr>
        <w:t xml:space="preserve">actual </w:t>
      </w:r>
      <w:r w:rsidRPr="00AC3ECF">
        <w:rPr>
          <w:rFonts w:ascii="Arial" w:hAnsi="Arial" w:cs="Arial"/>
        </w:rPr>
        <w:t xml:space="preserve">difficulties </w:t>
      </w:r>
      <w:r>
        <w:rPr>
          <w:rFonts w:ascii="Arial" w:hAnsi="Arial" w:cs="Arial"/>
        </w:rPr>
        <w:t>in</w:t>
      </w:r>
      <w:r w:rsidRPr="00AC3ECF">
        <w:rPr>
          <w:rFonts w:ascii="Arial" w:hAnsi="Arial" w:cs="Arial"/>
        </w:rPr>
        <w:t xml:space="preserve"> </w:t>
      </w:r>
      <w:r>
        <w:rPr>
          <w:rFonts w:ascii="Arial" w:hAnsi="Arial" w:cs="Arial"/>
        </w:rPr>
        <w:t>filing</w:t>
      </w:r>
      <w:r w:rsidRPr="00AC3ECF">
        <w:rPr>
          <w:rFonts w:ascii="Arial" w:hAnsi="Arial" w:cs="Arial"/>
        </w:rPr>
        <w:t xml:space="preserve"> the </w:t>
      </w:r>
      <w:r w:rsidRPr="001C5AD7">
        <w:rPr>
          <w:rFonts w:ascii="Arial" w:hAnsi="Arial" w:cs="Arial"/>
        </w:rPr>
        <w:t xml:space="preserve">“Annual Reporting Forms for Related Party </w:t>
      </w:r>
      <w:r>
        <w:rPr>
          <w:rFonts w:ascii="Arial" w:hAnsi="Arial" w:cs="Arial"/>
        </w:rPr>
        <w:t>Transactions</w:t>
      </w:r>
      <w:r w:rsidRPr="001C5AD7">
        <w:rPr>
          <w:rFonts w:ascii="Arial" w:hAnsi="Arial" w:cs="Arial"/>
        </w:rPr>
        <w:t>”</w:t>
      </w:r>
      <w:r>
        <w:rPr>
          <w:rFonts w:ascii="Arial" w:hAnsi="Arial" w:cs="Arial"/>
        </w:rPr>
        <w:t xml:space="preserve"> on time as required may apply for an extension of time in accordance with </w:t>
      </w:r>
      <w:r w:rsidRPr="00AC3ECF">
        <w:rPr>
          <w:rFonts w:ascii="Arial" w:hAnsi="Arial" w:cs="Arial"/>
        </w:rPr>
        <w:t>relevant provisions of the Tax Collection</w:t>
      </w:r>
      <w:r>
        <w:rPr>
          <w:rFonts w:ascii="Arial" w:hAnsi="Arial" w:cs="Arial"/>
        </w:rPr>
        <w:t xml:space="preserve"> and Administration</w:t>
      </w:r>
      <w:r w:rsidRPr="00AC3ECF">
        <w:rPr>
          <w:rFonts w:ascii="Arial" w:hAnsi="Arial" w:cs="Arial"/>
        </w:rPr>
        <w:t xml:space="preserve"> Law and </w:t>
      </w:r>
      <w:r w:rsidRPr="00675122">
        <w:rPr>
          <w:rFonts w:ascii="Arial" w:hAnsi="Arial" w:cs="Arial"/>
        </w:rPr>
        <w:t>its implementation regulations</w:t>
      </w:r>
      <w:r w:rsidRPr="00AC3ECF">
        <w:rPr>
          <w:rFonts w:ascii="Arial" w:hAnsi="Arial" w:cs="Arial"/>
        </w:rPr>
        <w:t>.</w:t>
      </w:r>
    </w:p>
    <w:p w:rsidR="005B19D8"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sidRPr="00F81458">
        <w:rPr>
          <w:rFonts w:ascii="Arial" w:hAnsi="Arial" w:cs="Arial"/>
        </w:rPr>
        <w:t>Enterprises shall</w:t>
      </w:r>
      <w:r>
        <w:rPr>
          <w:rFonts w:ascii="Arial" w:hAnsi="Arial" w:cs="Arial"/>
        </w:rPr>
        <w:t>,</w:t>
      </w:r>
      <w:r w:rsidRPr="00F81458">
        <w:rPr>
          <w:rFonts w:ascii="Arial" w:hAnsi="Arial" w:cs="Arial"/>
        </w:rPr>
        <w:t xml:space="preserve"> </w:t>
      </w:r>
      <w:r w:rsidRPr="002258D6">
        <w:rPr>
          <w:rFonts w:ascii="Arial" w:hAnsi="Arial" w:cs="Arial"/>
        </w:rPr>
        <w:t xml:space="preserve">in accordance with Article 114 of the implementation regulations of the </w:t>
      </w:r>
      <w:r>
        <w:rPr>
          <w:rFonts w:ascii="Arial" w:hAnsi="Arial" w:cs="Arial"/>
        </w:rPr>
        <w:t>Enterprise</w:t>
      </w:r>
      <w:r w:rsidRPr="002258D6">
        <w:rPr>
          <w:rFonts w:ascii="Arial" w:hAnsi="Arial" w:cs="Arial"/>
        </w:rPr>
        <w:t xml:space="preserve"> Income Tax Law</w:t>
      </w:r>
      <w:r>
        <w:rPr>
          <w:rFonts w:ascii="Arial" w:hAnsi="Arial" w:cs="Arial"/>
        </w:rPr>
        <w:t>,</w:t>
      </w:r>
      <w:r w:rsidRPr="002258D6">
        <w:rPr>
          <w:rFonts w:ascii="Arial" w:hAnsi="Arial" w:cs="Arial"/>
        </w:rPr>
        <w:t xml:space="preserve"> </w:t>
      </w:r>
      <w:r w:rsidRPr="00F81458">
        <w:rPr>
          <w:rFonts w:ascii="Arial" w:hAnsi="Arial" w:cs="Arial"/>
        </w:rPr>
        <w:t xml:space="preserve">prepare </w:t>
      </w:r>
      <w:r w:rsidRPr="002258D6">
        <w:rPr>
          <w:rFonts w:ascii="Arial" w:hAnsi="Arial" w:cs="Arial"/>
        </w:rPr>
        <w:t xml:space="preserve">contemporaneous </w:t>
      </w:r>
      <w:r w:rsidRPr="002258D6">
        <w:rPr>
          <w:rFonts w:ascii="Arial" w:hAnsi="Arial" w:cs="Arial"/>
        </w:rPr>
        <w:lastRenderedPageBreak/>
        <w:t xml:space="preserve">documentation </w:t>
      </w:r>
      <w:r>
        <w:rPr>
          <w:rFonts w:ascii="Arial" w:hAnsi="Arial" w:cs="Arial"/>
        </w:rPr>
        <w:t>with respect to</w:t>
      </w:r>
      <w:r w:rsidRPr="002258D6">
        <w:rPr>
          <w:rFonts w:ascii="Arial" w:hAnsi="Arial" w:cs="Arial"/>
        </w:rPr>
        <w:t xml:space="preserve"> their related party transactions </w:t>
      </w:r>
      <w:r>
        <w:rPr>
          <w:rFonts w:ascii="Arial" w:hAnsi="Arial" w:cs="Arial"/>
        </w:rPr>
        <w:t>for each tax year</w:t>
      </w:r>
      <w:r w:rsidRPr="00F81458">
        <w:rPr>
          <w:rFonts w:ascii="Arial" w:hAnsi="Arial" w:cs="Arial"/>
        </w:rPr>
        <w:t xml:space="preserve"> and submit </w:t>
      </w:r>
      <w:r>
        <w:rPr>
          <w:rFonts w:ascii="Arial" w:hAnsi="Arial" w:cs="Arial"/>
        </w:rPr>
        <w:t>the documentation upon the tax administration’s request</w:t>
      </w:r>
      <w:r w:rsidRPr="00F81458">
        <w:rPr>
          <w:rFonts w:ascii="Arial" w:hAnsi="Arial" w:cs="Arial"/>
        </w:rPr>
        <w:t>.</w:t>
      </w:r>
    </w:p>
    <w:p w:rsidR="005B19D8" w:rsidRDefault="005B19D8" w:rsidP="004132A5">
      <w:pPr>
        <w:pStyle w:val="ListParagraph"/>
        <w:ind w:left="426"/>
        <w:jc w:val="both"/>
        <w:rPr>
          <w:rFonts w:ascii="Arial" w:hAnsi="Arial" w:cs="Arial"/>
        </w:rPr>
      </w:pPr>
    </w:p>
    <w:p w:rsidR="005B19D8" w:rsidRDefault="005B19D8" w:rsidP="004132A5">
      <w:pPr>
        <w:pStyle w:val="ListParagraph"/>
        <w:ind w:left="426"/>
        <w:jc w:val="both"/>
        <w:rPr>
          <w:rFonts w:ascii="Arial" w:hAnsi="Arial" w:cs="Arial"/>
        </w:rPr>
      </w:pPr>
      <w:r w:rsidRPr="00B16064">
        <w:rPr>
          <w:rFonts w:ascii="Arial" w:hAnsi="Arial" w:cs="Arial"/>
        </w:rPr>
        <w:t xml:space="preserve">Contemporaneous documentation </w:t>
      </w:r>
      <w:r>
        <w:rPr>
          <w:rFonts w:ascii="Arial" w:hAnsi="Arial" w:cs="Arial"/>
        </w:rPr>
        <w:t>may include</w:t>
      </w:r>
      <w:r w:rsidRPr="00B16064">
        <w:rPr>
          <w:rFonts w:ascii="Arial" w:hAnsi="Arial" w:cs="Arial"/>
        </w:rPr>
        <w:t xml:space="preserve"> master file, local file and special </w:t>
      </w:r>
      <w:r>
        <w:rPr>
          <w:rFonts w:ascii="Arial" w:hAnsi="Arial" w:cs="Arial"/>
        </w:rPr>
        <w:t xml:space="preserve">issue </w:t>
      </w:r>
      <w:r w:rsidRPr="00B16064">
        <w:rPr>
          <w:rFonts w:ascii="Arial" w:hAnsi="Arial" w:cs="Arial"/>
        </w:rPr>
        <w:t>file.</w:t>
      </w:r>
    </w:p>
    <w:p w:rsidR="005B19D8" w:rsidRPr="006A113D" w:rsidRDefault="005B19D8" w:rsidP="004132A5">
      <w:pPr>
        <w:pStyle w:val="ListParagraph"/>
        <w:ind w:left="426"/>
        <w:jc w:val="both"/>
        <w:rPr>
          <w:rFonts w:ascii="Arial" w:hAnsi="Arial" w:cs="Arial"/>
        </w:rPr>
      </w:pPr>
    </w:p>
    <w:p w:rsidR="005B19D8" w:rsidRPr="003911F0" w:rsidRDefault="005B19D8" w:rsidP="00EC42C0">
      <w:pPr>
        <w:pStyle w:val="ListParagraph"/>
        <w:numPr>
          <w:ilvl w:val="0"/>
          <w:numId w:val="15"/>
        </w:numPr>
        <w:ind w:left="426" w:hanging="426"/>
        <w:jc w:val="both"/>
        <w:rPr>
          <w:rFonts w:ascii="Arial" w:hAnsi="Arial" w:cs="Arial"/>
        </w:rPr>
      </w:pPr>
      <w:r>
        <w:rPr>
          <w:rFonts w:ascii="Arial" w:hAnsi="Arial" w:cs="Arial"/>
        </w:rPr>
        <w:t xml:space="preserve">Any enterprise that meets one of the following criteria shall prepare a master file </w:t>
      </w:r>
      <w:r w:rsidRPr="00497315">
        <w:rPr>
          <w:rFonts w:ascii="Arial" w:eastAsia="仿宋" w:hAnsi="Arial" w:cs="Arial"/>
        </w:rPr>
        <w:t>:</w:t>
      </w:r>
    </w:p>
    <w:p w:rsidR="005B19D8" w:rsidRPr="003911F0" w:rsidRDefault="005B19D8" w:rsidP="004132A5">
      <w:pPr>
        <w:pStyle w:val="ListParagraph"/>
        <w:ind w:left="426"/>
        <w:jc w:val="both"/>
        <w:rPr>
          <w:rFonts w:ascii="Arial" w:hAnsi="Arial" w:cs="Arial"/>
        </w:rPr>
      </w:pPr>
    </w:p>
    <w:p w:rsidR="005B19D8" w:rsidRDefault="005B19D8" w:rsidP="00EC42C0">
      <w:pPr>
        <w:pStyle w:val="ListParagraph"/>
        <w:numPr>
          <w:ilvl w:val="0"/>
          <w:numId w:val="21"/>
        </w:numPr>
        <w:spacing w:before="240" w:after="0" w:line="240" w:lineRule="auto"/>
        <w:jc w:val="both"/>
        <w:rPr>
          <w:rFonts w:ascii="Arial" w:hAnsi="Arial" w:cs="Arial"/>
        </w:rPr>
      </w:pPr>
      <w:r>
        <w:rPr>
          <w:rFonts w:ascii="Arial" w:hAnsi="Arial" w:cs="Arial"/>
        </w:rPr>
        <w:t xml:space="preserve">The enterprise that has conducted cross-border related party transactions during the tax year concerned, and the MNE group to which the ultimate holding company that consolidates the enterprise belongs, has prepared a master file.  </w:t>
      </w:r>
    </w:p>
    <w:p w:rsidR="005B19D8" w:rsidRDefault="005B19D8" w:rsidP="004132A5">
      <w:pPr>
        <w:pStyle w:val="ListParagraph"/>
        <w:spacing w:before="240" w:after="0" w:line="240" w:lineRule="auto"/>
        <w:jc w:val="both"/>
        <w:rPr>
          <w:rFonts w:ascii="Arial" w:hAnsi="Arial" w:cs="Arial"/>
        </w:rPr>
      </w:pPr>
    </w:p>
    <w:p w:rsidR="005B19D8" w:rsidRPr="003911F0" w:rsidRDefault="005B19D8" w:rsidP="00EC42C0">
      <w:pPr>
        <w:pStyle w:val="ListParagraph"/>
        <w:numPr>
          <w:ilvl w:val="0"/>
          <w:numId w:val="21"/>
        </w:numPr>
        <w:spacing w:before="240" w:after="0" w:line="240" w:lineRule="auto"/>
        <w:jc w:val="both"/>
        <w:rPr>
          <w:rFonts w:ascii="Arial" w:hAnsi="Arial" w:cs="Arial"/>
        </w:rPr>
      </w:pPr>
      <w:r>
        <w:rPr>
          <w:rFonts w:ascii="Arial" w:hAnsi="Arial" w:cs="Arial"/>
        </w:rPr>
        <w:t>The</w:t>
      </w:r>
      <w:r w:rsidRPr="00B317C0">
        <w:rPr>
          <w:rFonts w:ascii="Arial" w:hAnsi="Arial" w:cs="Arial"/>
        </w:rPr>
        <w:t xml:space="preserve"> annual total amount of </w:t>
      </w:r>
      <w:r>
        <w:rPr>
          <w:rFonts w:ascii="Arial" w:hAnsi="Arial" w:cs="Arial"/>
        </w:rPr>
        <w:t xml:space="preserve">the enterprise’s </w:t>
      </w:r>
      <w:r w:rsidRPr="00B317C0">
        <w:rPr>
          <w:rFonts w:ascii="Arial" w:hAnsi="Arial" w:cs="Arial"/>
        </w:rPr>
        <w:t>related party transactions exceed</w:t>
      </w:r>
      <w:r>
        <w:rPr>
          <w:rFonts w:ascii="Arial" w:hAnsi="Arial" w:cs="Arial"/>
        </w:rPr>
        <w:t>s</w:t>
      </w:r>
      <w:r w:rsidRPr="00B317C0">
        <w:rPr>
          <w:rFonts w:ascii="Arial" w:hAnsi="Arial" w:cs="Arial"/>
        </w:rPr>
        <w:t xml:space="preserve"> </w:t>
      </w:r>
      <w:r>
        <w:rPr>
          <w:rFonts w:ascii="Arial" w:hAnsi="Arial" w:cs="Arial"/>
        </w:rPr>
        <w:t>1 billion</w:t>
      </w:r>
      <w:r w:rsidRPr="00B317C0">
        <w:rPr>
          <w:rFonts w:ascii="Arial" w:hAnsi="Arial" w:cs="Arial"/>
        </w:rPr>
        <w:t xml:space="preserve"> RMB</w:t>
      </w:r>
      <w:r>
        <w:rPr>
          <w:rFonts w:ascii="Arial" w:hAnsi="Arial" w:cs="Arial"/>
        </w:rPr>
        <w:t>.</w:t>
      </w:r>
    </w:p>
    <w:p w:rsidR="005B19D8"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 xml:space="preserve">The master file is to provide an overview </w:t>
      </w:r>
      <w:r w:rsidRPr="00DE0B20">
        <w:rPr>
          <w:rFonts w:ascii="Arial" w:hAnsi="Arial" w:cs="Arial"/>
        </w:rPr>
        <w:t>of the</w:t>
      </w:r>
      <w:r>
        <w:rPr>
          <w:rFonts w:ascii="Arial" w:hAnsi="Arial" w:cs="Arial"/>
        </w:rPr>
        <w:t xml:space="preserve"> global business operations of the</w:t>
      </w:r>
      <w:r w:rsidRPr="00DE0B20">
        <w:rPr>
          <w:rFonts w:ascii="Arial" w:hAnsi="Arial" w:cs="Arial"/>
        </w:rPr>
        <w:t xml:space="preserve"> </w:t>
      </w:r>
      <w:r>
        <w:rPr>
          <w:rFonts w:ascii="Arial" w:hAnsi="Arial" w:cs="Arial"/>
        </w:rPr>
        <w:t>MNE group</w:t>
      </w:r>
      <w:r w:rsidRPr="00DE0B20">
        <w:rPr>
          <w:rFonts w:ascii="Arial" w:hAnsi="Arial" w:cs="Arial"/>
        </w:rPr>
        <w:t xml:space="preserve"> to </w:t>
      </w:r>
      <w:r w:rsidRPr="006D4218">
        <w:rPr>
          <w:rFonts w:ascii="Arial" w:hAnsi="Arial" w:cs="Arial"/>
        </w:rPr>
        <w:t>which</w:t>
      </w:r>
      <w:r w:rsidRPr="00DE0B20">
        <w:rPr>
          <w:rFonts w:ascii="Arial" w:hAnsi="Arial" w:cs="Arial"/>
        </w:rPr>
        <w:t xml:space="preserve"> the ultimate holding </w:t>
      </w:r>
      <w:r>
        <w:rPr>
          <w:rFonts w:ascii="Arial" w:hAnsi="Arial" w:cs="Arial"/>
        </w:rPr>
        <w:t>company</w:t>
      </w:r>
      <w:r w:rsidRPr="00DE0B20">
        <w:rPr>
          <w:rFonts w:ascii="Arial" w:hAnsi="Arial" w:cs="Arial"/>
        </w:rPr>
        <w:t xml:space="preserve"> belongs, and shall include the following information:</w:t>
      </w:r>
    </w:p>
    <w:p w:rsidR="005B19D8" w:rsidRPr="00D6501B" w:rsidRDefault="005B19D8" w:rsidP="004132A5">
      <w:pPr>
        <w:pStyle w:val="ListParagraph"/>
        <w:jc w:val="both"/>
        <w:rPr>
          <w:rFonts w:ascii="Arial" w:hAnsi="Arial" w:cs="Arial"/>
        </w:rPr>
      </w:pPr>
    </w:p>
    <w:p w:rsidR="005B19D8" w:rsidRDefault="005B19D8" w:rsidP="00EC42C0">
      <w:pPr>
        <w:pStyle w:val="ListParagraph"/>
        <w:numPr>
          <w:ilvl w:val="0"/>
          <w:numId w:val="17"/>
        </w:numPr>
        <w:spacing w:before="240" w:after="0" w:line="240" w:lineRule="auto"/>
        <w:ind w:left="851" w:hanging="491"/>
        <w:jc w:val="both"/>
        <w:rPr>
          <w:rFonts w:ascii="Arial" w:hAnsi="Arial" w:cs="Arial"/>
        </w:rPr>
      </w:pPr>
      <w:r w:rsidRPr="00D6501B">
        <w:rPr>
          <w:rFonts w:ascii="Arial" w:hAnsi="Arial" w:cs="Arial"/>
        </w:rPr>
        <w:t>Organisational structure</w:t>
      </w:r>
    </w:p>
    <w:p w:rsidR="005B19D8" w:rsidRDefault="005B19D8" w:rsidP="004132A5">
      <w:pPr>
        <w:pStyle w:val="ListParagraph"/>
        <w:spacing w:before="240" w:after="0" w:line="240" w:lineRule="auto"/>
        <w:ind w:left="851"/>
        <w:jc w:val="both"/>
        <w:rPr>
          <w:rFonts w:ascii="Arial" w:hAnsi="Arial" w:cs="Arial"/>
        </w:rPr>
      </w:pPr>
    </w:p>
    <w:p w:rsidR="005B19D8" w:rsidRDefault="005B19D8" w:rsidP="004132A5">
      <w:pPr>
        <w:pStyle w:val="ListParagraph"/>
        <w:spacing w:before="240" w:after="0" w:line="240" w:lineRule="auto"/>
        <w:ind w:left="851"/>
        <w:jc w:val="both"/>
        <w:rPr>
          <w:rFonts w:ascii="Arial" w:hAnsi="Arial" w:cs="Arial"/>
        </w:rPr>
      </w:pPr>
      <w:r w:rsidRPr="00D6501B">
        <w:rPr>
          <w:rFonts w:ascii="Arial" w:hAnsi="Arial" w:cs="Arial"/>
        </w:rPr>
        <w:t xml:space="preserve">Chart illustrating the global organisational structure and ownership structure of the </w:t>
      </w:r>
      <w:r>
        <w:rPr>
          <w:rFonts w:ascii="Arial" w:hAnsi="Arial" w:cs="Arial"/>
        </w:rPr>
        <w:t>MNE group</w:t>
      </w:r>
      <w:r w:rsidRPr="00D6501B">
        <w:rPr>
          <w:rFonts w:ascii="Arial" w:hAnsi="Arial" w:cs="Arial"/>
        </w:rPr>
        <w:t>, and the geographical locations of all constituent entities.</w:t>
      </w:r>
      <w:r>
        <w:rPr>
          <w:rFonts w:ascii="Arial" w:hAnsi="Arial" w:cs="Arial"/>
        </w:rPr>
        <w:t xml:space="preserve"> </w:t>
      </w:r>
      <w:r w:rsidRPr="00D6501B">
        <w:rPr>
          <w:rFonts w:ascii="Arial" w:hAnsi="Arial" w:cs="Arial"/>
        </w:rPr>
        <w:t xml:space="preserve"> A constituent entity refers to any operating entity of the </w:t>
      </w:r>
      <w:r>
        <w:rPr>
          <w:rFonts w:ascii="Arial" w:hAnsi="Arial" w:cs="Arial"/>
        </w:rPr>
        <w:t>MNE group</w:t>
      </w:r>
      <w:r w:rsidRPr="00D6501B">
        <w:rPr>
          <w:rFonts w:ascii="Arial" w:hAnsi="Arial" w:cs="Arial"/>
        </w:rPr>
        <w:t xml:space="preserve">, including corporations, partnerships and </w:t>
      </w:r>
      <w:r>
        <w:rPr>
          <w:rFonts w:ascii="Arial" w:hAnsi="Arial" w:cs="Arial"/>
        </w:rPr>
        <w:t>permanent establishments</w:t>
      </w:r>
      <w:r w:rsidRPr="00D6501B">
        <w:rPr>
          <w:rFonts w:ascii="Arial" w:hAnsi="Arial" w:cs="Arial"/>
        </w:rPr>
        <w:t xml:space="preserve">, etc. </w:t>
      </w:r>
    </w:p>
    <w:p w:rsidR="005B19D8" w:rsidRPr="00D6501B"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17"/>
        </w:numPr>
        <w:spacing w:before="240" w:after="0" w:line="240" w:lineRule="auto"/>
        <w:ind w:left="851" w:hanging="491"/>
        <w:jc w:val="both"/>
        <w:rPr>
          <w:rFonts w:ascii="Arial" w:hAnsi="Arial" w:cs="Arial"/>
        </w:rPr>
      </w:pPr>
      <w:r>
        <w:rPr>
          <w:rFonts w:ascii="Arial" w:hAnsi="Arial" w:cs="Arial"/>
        </w:rPr>
        <w:t>Description of MNE’s business(es)</w:t>
      </w:r>
      <w:r w:rsidRPr="00DE0B20">
        <w:rPr>
          <w:rFonts w:ascii="Arial" w:hAnsi="Arial" w:cs="Arial"/>
        </w:rPr>
        <w:t xml:space="preserve"> </w:t>
      </w:r>
    </w:p>
    <w:p w:rsidR="005B19D8"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18"/>
        </w:numPr>
        <w:spacing w:before="240" w:after="0" w:line="240" w:lineRule="auto"/>
        <w:jc w:val="both"/>
        <w:rPr>
          <w:rFonts w:ascii="Arial" w:hAnsi="Arial" w:cs="Arial"/>
        </w:rPr>
      </w:pPr>
      <w:r>
        <w:rPr>
          <w:rFonts w:ascii="Arial" w:hAnsi="Arial" w:cs="Arial"/>
        </w:rPr>
        <w:t>A description</w:t>
      </w:r>
      <w:r w:rsidRPr="00ED3E2C">
        <w:rPr>
          <w:rFonts w:ascii="Arial" w:hAnsi="Arial" w:cs="Arial"/>
        </w:rPr>
        <w:t xml:space="preserve"> </w:t>
      </w:r>
      <w:r w:rsidRPr="002F788E">
        <w:rPr>
          <w:rFonts w:ascii="Arial" w:hAnsi="Arial" w:cs="Arial"/>
        </w:rPr>
        <w:t>of the</w:t>
      </w:r>
      <w:r>
        <w:rPr>
          <w:rFonts w:ascii="Arial" w:hAnsi="Arial" w:cs="Arial"/>
        </w:rPr>
        <w:t xml:space="preserve"> MNE’s business, including</w:t>
      </w:r>
      <w:r w:rsidRPr="002F788E">
        <w:rPr>
          <w:rFonts w:ascii="Arial" w:hAnsi="Arial" w:cs="Arial"/>
        </w:rPr>
        <w:t xml:space="preserve"> </w:t>
      </w:r>
      <w:r>
        <w:rPr>
          <w:rFonts w:ascii="Arial" w:hAnsi="Arial" w:cs="Arial"/>
        </w:rPr>
        <w:t xml:space="preserve">important </w:t>
      </w:r>
      <w:r w:rsidRPr="00ED3E2C">
        <w:rPr>
          <w:rFonts w:ascii="Arial" w:hAnsi="Arial" w:cs="Arial"/>
        </w:rPr>
        <w:t xml:space="preserve">value </w:t>
      </w:r>
      <w:r>
        <w:rPr>
          <w:rFonts w:ascii="Arial" w:hAnsi="Arial" w:cs="Arial"/>
        </w:rPr>
        <w:t>drivers</w:t>
      </w:r>
      <w:r w:rsidRPr="00ED3E2C">
        <w:rPr>
          <w:rFonts w:ascii="Arial" w:hAnsi="Arial" w:cs="Arial"/>
        </w:rPr>
        <w:t xml:space="preserve"> of business profit.</w:t>
      </w:r>
    </w:p>
    <w:p w:rsidR="005B19D8" w:rsidRDefault="005B19D8" w:rsidP="004132A5">
      <w:pPr>
        <w:pStyle w:val="ListParagraph"/>
        <w:spacing w:before="240" w:after="0" w:line="240" w:lineRule="auto"/>
        <w:ind w:left="1211"/>
        <w:jc w:val="both"/>
        <w:rPr>
          <w:rFonts w:ascii="Arial" w:hAnsi="Arial" w:cs="Arial"/>
        </w:rPr>
      </w:pPr>
    </w:p>
    <w:p w:rsidR="005B19D8" w:rsidRDefault="005B19D8" w:rsidP="00EC42C0">
      <w:pPr>
        <w:pStyle w:val="ListParagraph"/>
        <w:numPr>
          <w:ilvl w:val="0"/>
          <w:numId w:val="18"/>
        </w:numPr>
        <w:spacing w:before="240" w:after="0" w:line="240" w:lineRule="auto"/>
        <w:jc w:val="both"/>
        <w:rPr>
          <w:rFonts w:ascii="Arial" w:hAnsi="Arial" w:cs="Arial"/>
        </w:rPr>
      </w:pPr>
      <w:r>
        <w:rPr>
          <w:rFonts w:ascii="Arial" w:hAnsi="Arial" w:cs="Arial"/>
        </w:rPr>
        <w:t xml:space="preserve">A description of the supply chain and main geographic markets for the group’s five largest products or service offerings by turnover plus any other products or services amounting to more than 5 percent of group </w:t>
      </w:r>
      <w:r>
        <w:rPr>
          <w:rFonts w:ascii="Arial" w:hAnsi="Arial" w:cs="Arial"/>
        </w:rPr>
        <w:lastRenderedPageBreak/>
        <w:t>turnover. The required description could take the form of a chart or a diagram.</w:t>
      </w:r>
    </w:p>
    <w:p w:rsidR="005B19D8" w:rsidRPr="00ED3E2C" w:rsidRDefault="005B19D8" w:rsidP="004132A5">
      <w:pPr>
        <w:pStyle w:val="ListParagraph"/>
        <w:jc w:val="both"/>
        <w:rPr>
          <w:rFonts w:ascii="Arial" w:hAnsi="Arial" w:cs="Arial"/>
        </w:rPr>
      </w:pPr>
    </w:p>
    <w:p w:rsidR="005B19D8" w:rsidRDefault="005B19D8" w:rsidP="00EC42C0">
      <w:pPr>
        <w:pStyle w:val="ListParagraph"/>
        <w:numPr>
          <w:ilvl w:val="0"/>
          <w:numId w:val="18"/>
        </w:numPr>
        <w:spacing w:before="240" w:after="0" w:line="240" w:lineRule="auto"/>
        <w:jc w:val="both"/>
        <w:rPr>
          <w:rFonts w:ascii="Arial" w:hAnsi="Arial" w:cs="Arial"/>
        </w:rPr>
      </w:pPr>
      <w:r>
        <w:rPr>
          <w:rFonts w:ascii="Arial" w:hAnsi="Arial" w:cs="Arial"/>
        </w:rPr>
        <w:t xml:space="preserve">A list and brief description of important service arrangements between constituent entities of the group, other than research and development services, including a description of the capabilities of the principal locations providing important services and transfer pricing policies for allocating service costs and determining prices to be paid for intra-group services. </w:t>
      </w:r>
    </w:p>
    <w:p w:rsidR="005B19D8" w:rsidRPr="00ED3E2C" w:rsidRDefault="005B19D8" w:rsidP="004132A5">
      <w:pPr>
        <w:pStyle w:val="ListParagraph"/>
        <w:jc w:val="both"/>
        <w:rPr>
          <w:rFonts w:ascii="Arial" w:hAnsi="Arial" w:cs="Arial"/>
        </w:rPr>
      </w:pPr>
    </w:p>
    <w:p w:rsidR="005B19D8" w:rsidRDefault="005B19D8" w:rsidP="00EC42C0">
      <w:pPr>
        <w:pStyle w:val="ListParagraph"/>
        <w:numPr>
          <w:ilvl w:val="0"/>
          <w:numId w:val="18"/>
        </w:numPr>
        <w:spacing w:before="240" w:after="0" w:line="240" w:lineRule="auto"/>
        <w:jc w:val="both"/>
        <w:rPr>
          <w:rFonts w:ascii="Arial" w:hAnsi="Arial" w:cs="Arial"/>
        </w:rPr>
      </w:pPr>
      <w:r>
        <w:rPr>
          <w:rFonts w:ascii="Arial" w:hAnsi="Arial" w:cs="Arial"/>
        </w:rPr>
        <w:t>A functional analysis describing the principal contributions to value creation by individual constituent entities within the group, i.e. key functions performed, important risks assumed, and important assets used.</w:t>
      </w:r>
    </w:p>
    <w:p w:rsidR="005B19D8" w:rsidRPr="00ED3E2C" w:rsidRDefault="005B19D8" w:rsidP="004132A5">
      <w:pPr>
        <w:pStyle w:val="ListParagraph"/>
        <w:jc w:val="both"/>
        <w:rPr>
          <w:rFonts w:ascii="Arial" w:hAnsi="Arial" w:cs="Arial"/>
          <w:lang w:eastAsia="zh-TW"/>
        </w:rPr>
      </w:pPr>
    </w:p>
    <w:p w:rsidR="005B19D8" w:rsidRDefault="005B19D8" w:rsidP="00EC42C0">
      <w:pPr>
        <w:pStyle w:val="ListParagraph"/>
        <w:numPr>
          <w:ilvl w:val="0"/>
          <w:numId w:val="18"/>
        </w:numPr>
        <w:spacing w:before="240" w:after="0" w:line="240" w:lineRule="auto"/>
        <w:jc w:val="both"/>
        <w:rPr>
          <w:rFonts w:ascii="Arial" w:hAnsi="Arial" w:cs="Arial"/>
        </w:rPr>
      </w:pPr>
      <w:r>
        <w:rPr>
          <w:rFonts w:ascii="Arial" w:hAnsi="Arial" w:cs="Arial"/>
        </w:rPr>
        <w:t xml:space="preserve">A description of business restructurings, industrial restructurings, transfers of functions, risks or assets occurring within the group during the fiscal year. </w:t>
      </w:r>
      <w:r w:rsidRPr="0054794B">
        <w:rPr>
          <w:rFonts w:ascii="Arial" w:hAnsi="Arial" w:cs="Arial"/>
          <w:lang w:eastAsia="zh-TW"/>
        </w:rPr>
        <w:t xml:space="preserve"> </w:t>
      </w:r>
      <w:r w:rsidRPr="00ED3E2C">
        <w:rPr>
          <w:rFonts w:ascii="Arial" w:hAnsi="Arial" w:cs="Arial"/>
        </w:rPr>
        <w:t xml:space="preserve"> </w:t>
      </w:r>
    </w:p>
    <w:p w:rsidR="005B19D8" w:rsidRPr="003911F0" w:rsidRDefault="005B19D8" w:rsidP="004132A5">
      <w:pPr>
        <w:pStyle w:val="ListParagraph"/>
        <w:rPr>
          <w:rFonts w:ascii="Arial" w:hAnsi="Arial" w:cs="Arial"/>
        </w:rPr>
      </w:pPr>
    </w:p>
    <w:p w:rsidR="005B19D8" w:rsidRDefault="005B19D8" w:rsidP="00EC42C0">
      <w:pPr>
        <w:pStyle w:val="ListParagraph"/>
        <w:numPr>
          <w:ilvl w:val="0"/>
          <w:numId w:val="18"/>
        </w:numPr>
        <w:spacing w:before="240" w:after="0" w:line="240" w:lineRule="auto"/>
        <w:jc w:val="both"/>
        <w:rPr>
          <w:rFonts w:ascii="Arial" w:hAnsi="Arial" w:cs="Arial"/>
        </w:rPr>
      </w:pPr>
      <w:r>
        <w:rPr>
          <w:rFonts w:ascii="Arial" w:hAnsi="Arial" w:cs="Arial"/>
        </w:rPr>
        <w:t>A description of reorganizations occurring during the fiscal year within the group, i.e. C</w:t>
      </w:r>
      <w:r w:rsidRPr="0054794B">
        <w:rPr>
          <w:rFonts w:ascii="Arial" w:hAnsi="Arial" w:cs="Arial"/>
        </w:rPr>
        <w:t>hange</w:t>
      </w:r>
      <w:r>
        <w:rPr>
          <w:rFonts w:ascii="Arial" w:hAnsi="Arial" w:cs="Arial"/>
        </w:rPr>
        <w:t>s</w:t>
      </w:r>
      <w:r w:rsidRPr="0054794B">
        <w:rPr>
          <w:rFonts w:ascii="Arial" w:hAnsi="Arial" w:cs="Arial"/>
        </w:rPr>
        <w:t xml:space="preserve"> of legal form, debt restructuring, equity acquisition, asset acquisitio</w:t>
      </w:r>
      <w:r>
        <w:rPr>
          <w:rFonts w:ascii="Arial" w:hAnsi="Arial" w:cs="Arial"/>
        </w:rPr>
        <w:t>ns</w:t>
      </w:r>
      <w:r w:rsidRPr="0054794B">
        <w:rPr>
          <w:rFonts w:ascii="Arial" w:hAnsi="Arial" w:cs="Arial"/>
        </w:rPr>
        <w:t xml:space="preserve">, merger and </w:t>
      </w:r>
      <w:r>
        <w:rPr>
          <w:rFonts w:ascii="Arial" w:hAnsi="Arial" w:cs="Arial"/>
        </w:rPr>
        <w:t>divestitures</w:t>
      </w:r>
      <w:r w:rsidRPr="0054794B">
        <w:rPr>
          <w:rFonts w:ascii="Arial" w:hAnsi="Arial" w:cs="Arial"/>
        </w:rPr>
        <w:t>.</w:t>
      </w:r>
    </w:p>
    <w:p w:rsidR="005B19D8" w:rsidRPr="0066089D" w:rsidRDefault="005B19D8" w:rsidP="004132A5">
      <w:pPr>
        <w:pStyle w:val="ListParagraph"/>
        <w:tabs>
          <w:tab w:val="left" w:pos="6928"/>
        </w:tabs>
        <w:jc w:val="both"/>
        <w:rPr>
          <w:rFonts w:ascii="Arial" w:hAnsi="Arial" w:cs="Arial"/>
        </w:rPr>
      </w:pPr>
      <w:r>
        <w:rPr>
          <w:rFonts w:ascii="Arial" w:hAnsi="Arial" w:cs="Arial"/>
        </w:rPr>
        <w:tab/>
      </w:r>
    </w:p>
    <w:p w:rsidR="005B19D8" w:rsidRPr="00DE0B20" w:rsidRDefault="005B19D8" w:rsidP="00EC42C0">
      <w:pPr>
        <w:pStyle w:val="ListParagraph"/>
        <w:numPr>
          <w:ilvl w:val="0"/>
          <w:numId w:val="17"/>
        </w:numPr>
        <w:spacing w:before="240" w:after="0" w:line="240" w:lineRule="auto"/>
        <w:ind w:left="851" w:hanging="491"/>
        <w:jc w:val="both"/>
        <w:rPr>
          <w:rFonts w:ascii="Arial" w:hAnsi="Arial" w:cs="Arial"/>
        </w:rPr>
      </w:pPr>
      <w:r w:rsidRPr="00DE0B20">
        <w:rPr>
          <w:rFonts w:ascii="Arial" w:hAnsi="Arial" w:cs="Arial"/>
        </w:rPr>
        <w:t>Intangibles</w:t>
      </w:r>
    </w:p>
    <w:p w:rsidR="005B19D8" w:rsidRDefault="005B19D8" w:rsidP="004132A5">
      <w:pPr>
        <w:pStyle w:val="ListParagraph"/>
        <w:spacing w:before="240" w:after="0" w:line="240" w:lineRule="auto"/>
        <w:ind w:left="1070"/>
        <w:jc w:val="both"/>
        <w:rPr>
          <w:rFonts w:ascii="Arial" w:hAnsi="Arial" w:cs="Arial"/>
        </w:rPr>
      </w:pPr>
    </w:p>
    <w:p w:rsidR="005B19D8" w:rsidRDefault="005B19D8" w:rsidP="00EC42C0">
      <w:pPr>
        <w:pStyle w:val="ListParagraph"/>
        <w:numPr>
          <w:ilvl w:val="0"/>
          <w:numId w:val="6"/>
        </w:numPr>
        <w:spacing w:before="240" w:after="0" w:line="240" w:lineRule="auto"/>
        <w:ind w:left="1190" w:hanging="339"/>
        <w:jc w:val="both"/>
        <w:rPr>
          <w:rFonts w:ascii="Arial" w:hAnsi="Arial" w:cs="Arial"/>
        </w:rPr>
      </w:pPr>
      <w:r>
        <w:rPr>
          <w:rFonts w:ascii="Arial" w:hAnsi="Arial" w:cs="Arial"/>
        </w:rPr>
        <w:t xml:space="preserve">A general description of the MNE’s overall strategy for the development, ownership and exploitation of intangibles, including location of principal research and development facilities, location of research and development management,  and their functions, risks, assets and personnel.  </w:t>
      </w:r>
    </w:p>
    <w:p w:rsidR="005B19D8" w:rsidRDefault="005B19D8" w:rsidP="004132A5">
      <w:pPr>
        <w:pStyle w:val="ListParagraph"/>
        <w:spacing w:before="240" w:after="0" w:line="240" w:lineRule="auto"/>
        <w:ind w:left="1190"/>
        <w:jc w:val="both"/>
        <w:rPr>
          <w:rFonts w:ascii="Arial" w:hAnsi="Arial" w:cs="Arial"/>
        </w:rPr>
      </w:pPr>
    </w:p>
    <w:p w:rsidR="005B19D8" w:rsidRDefault="005B19D8" w:rsidP="00EC42C0">
      <w:pPr>
        <w:pStyle w:val="ListParagraph"/>
        <w:numPr>
          <w:ilvl w:val="0"/>
          <w:numId w:val="6"/>
        </w:numPr>
        <w:spacing w:before="240" w:after="0" w:line="240" w:lineRule="auto"/>
        <w:ind w:left="1190" w:hanging="339"/>
        <w:jc w:val="both"/>
        <w:rPr>
          <w:rFonts w:ascii="Arial" w:hAnsi="Arial" w:cs="Arial"/>
        </w:rPr>
      </w:pPr>
      <w:r>
        <w:rPr>
          <w:rFonts w:ascii="Arial" w:hAnsi="Arial" w:cs="Arial"/>
        </w:rPr>
        <w:t>A list of intangibles or groups of intangibles of the MNE group that are important for transfer pricing purposes and which entities own them.</w:t>
      </w:r>
    </w:p>
    <w:p w:rsidR="005B19D8" w:rsidRPr="0066089D" w:rsidRDefault="005B19D8" w:rsidP="004132A5">
      <w:pPr>
        <w:pStyle w:val="ListParagraph"/>
        <w:rPr>
          <w:rFonts w:ascii="Arial" w:hAnsi="Arial" w:cs="Arial"/>
        </w:rPr>
      </w:pPr>
    </w:p>
    <w:p w:rsidR="005B19D8" w:rsidRDefault="005B19D8" w:rsidP="00EC42C0">
      <w:pPr>
        <w:pStyle w:val="ListParagraph"/>
        <w:numPr>
          <w:ilvl w:val="0"/>
          <w:numId w:val="6"/>
        </w:numPr>
        <w:spacing w:before="240" w:after="0" w:line="240" w:lineRule="auto"/>
        <w:ind w:left="1190" w:hanging="339"/>
        <w:jc w:val="both"/>
        <w:rPr>
          <w:rFonts w:ascii="Arial" w:hAnsi="Arial" w:cs="Arial"/>
        </w:rPr>
      </w:pPr>
      <w:r>
        <w:rPr>
          <w:rFonts w:ascii="Arial" w:hAnsi="Arial" w:cs="Arial"/>
        </w:rPr>
        <w:t>A list of important agreements entered between constituent entities and their related parties related to intangibles, including cost sharing agreements, principal research services agreements and licence agreements.</w:t>
      </w:r>
    </w:p>
    <w:p w:rsidR="005B19D8" w:rsidRPr="0066089D" w:rsidRDefault="005B19D8" w:rsidP="004132A5">
      <w:pPr>
        <w:pStyle w:val="ListParagraph"/>
        <w:rPr>
          <w:rFonts w:ascii="Arial" w:hAnsi="Arial" w:cs="Arial"/>
        </w:rPr>
      </w:pPr>
    </w:p>
    <w:p w:rsidR="005B19D8" w:rsidRDefault="005B19D8" w:rsidP="00EC42C0">
      <w:pPr>
        <w:pStyle w:val="ListParagraph"/>
        <w:numPr>
          <w:ilvl w:val="0"/>
          <w:numId w:val="6"/>
        </w:numPr>
        <w:spacing w:before="240" w:after="0" w:line="240" w:lineRule="auto"/>
        <w:ind w:left="1190" w:hanging="339"/>
        <w:jc w:val="both"/>
        <w:rPr>
          <w:rFonts w:ascii="Arial" w:hAnsi="Arial" w:cs="Arial"/>
        </w:rPr>
      </w:pPr>
      <w:r>
        <w:rPr>
          <w:rFonts w:ascii="Arial" w:hAnsi="Arial" w:cs="Arial"/>
        </w:rPr>
        <w:t xml:space="preserve">A description of the groups’ transfer pricing policies related to research and development and intangibles. </w:t>
      </w:r>
      <w:r w:rsidRPr="0066089D">
        <w:rPr>
          <w:rFonts w:ascii="Arial" w:hAnsi="Arial" w:cs="Arial"/>
        </w:rPr>
        <w:t xml:space="preserve"> </w:t>
      </w:r>
    </w:p>
    <w:p w:rsidR="005B19D8" w:rsidRPr="0066089D" w:rsidRDefault="005B19D8" w:rsidP="004132A5">
      <w:pPr>
        <w:pStyle w:val="ListParagraph"/>
        <w:rPr>
          <w:rFonts w:ascii="Arial" w:hAnsi="Arial" w:cs="Arial"/>
        </w:rPr>
      </w:pPr>
    </w:p>
    <w:p w:rsidR="005B19D8" w:rsidRDefault="005B19D8" w:rsidP="00EC42C0">
      <w:pPr>
        <w:pStyle w:val="ListParagraph"/>
        <w:numPr>
          <w:ilvl w:val="0"/>
          <w:numId w:val="6"/>
        </w:numPr>
        <w:spacing w:before="240" w:after="0" w:line="240" w:lineRule="auto"/>
        <w:ind w:left="1190" w:hanging="339"/>
        <w:jc w:val="both"/>
        <w:rPr>
          <w:rFonts w:ascii="Arial" w:hAnsi="Arial" w:cs="Arial"/>
        </w:rPr>
      </w:pPr>
      <w:r>
        <w:rPr>
          <w:rFonts w:ascii="Arial" w:hAnsi="Arial" w:cs="Arial"/>
        </w:rPr>
        <w:lastRenderedPageBreak/>
        <w:t xml:space="preserve">A description of any important transfers of interests in intangibles among related parties during the fiscal year concerned, including the entities, countries, and compensations involved.  </w:t>
      </w:r>
    </w:p>
    <w:p w:rsidR="005B19D8" w:rsidRPr="006252E9" w:rsidRDefault="005B19D8" w:rsidP="004132A5">
      <w:pPr>
        <w:pStyle w:val="ListParagraph"/>
        <w:rPr>
          <w:rFonts w:ascii="Arial" w:hAnsi="Arial" w:cs="Arial"/>
        </w:rPr>
      </w:pPr>
    </w:p>
    <w:p w:rsidR="005B19D8" w:rsidRPr="00DE0B20" w:rsidRDefault="005B19D8" w:rsidP="00EC42C0">
      <w:pPr>
        <w:pStyle w:val="ListParagraph"/>
        <w:numPr>
          <w:ilvl w:val="0"/>
          <w:numId w:val="17"/>
        </w:numPr>
        <w:spacing w:before="240" w:after="0" w:line="240" w:lineRule="auto"/>
        <w:ind w:left="851" w:hanging="491"/>
        <w:jc w:val="both"/>
        <w:rPr>
          <w:rFonts w:ascii="Arial" w:hAnsi="Arial" w:cs="Arial"/>
        </w:rPr>
      </w:pPr>
      <w:r>
        <w:rPr>
          <w:rFonts w:ascii="Arial" w:hAnsi="Arial" w:cs="Arial"/>
        </w:rPr>
        <w:t>Financial</w:t>
      </w:r>
      <w:r w:rsidRPr="00DE0B20">
        <w:rPr>
          <w:rFonts w:ascii="Arial" w:hAnsi="Arial" w:cs="Arial"/>
        </w:rPr>
        <w:t xml:space="preserve"> activities</w:t>
      </w:r>
    </w:p>
    <w:p w:rsidR="005B19D8" w:rsidRDefault="005B19D8" w:rsidP="004132A5">
      <w:pPr>
        <w:pStyle w:val="ListParagraph"/>
        <w:spacing w:before="240" w:after="0" w:line="240" w:lineRule="auto"/>
        <w:ind w:left="1070"/>
        <w:jc w:val="both"/>
        <w:rPr>
          <w:rFonts w:ascii="Arial" w:hAnsi="Arial" w:cs="Arial"/>
        </w:rPr>
      </w:pPr>
    </w:p>
    <w:p w:rsidR="005B19D8" w:rsidRDefault="005B19D8" w:rsidP="00EC42C0">
      <w:pPr>
        <w:pStyle w:val="ListParagraph"/>
        <w:numPr>
          <w:ilvl w:val="0"/>
          <w:numId w:val="7"/>
        </w:numPr>
        <w:spacing w:before="240" w:after="0" w:line="240" w:lineRule="auto"/>
        <w:ind w:left="1218" w:hanging="367"/>
        <w:jc w:val="both"/>
        <w:rPr>
          <w:rFonts w:ascii="Arial" w:hAnsi="Arial" w:cs="Arial"/>
        </w:rPr>
      </w:pPr>
      <w:r>
        <w:rPr>
          <w:rFonts w:ascii="Arial" w:hAnsi="Arial" w:cs="Arial"/>
        </w:rPr>
        <w:t xml:space="preserve">A description of </w:t>
      </w:r>
      <w:r w:rsidRPr="006252E9">
        <w:rPr>
          <w:rFonts w:ascii="Arial" w:hAnsi="Arial" w:cs="Arial"/>
        </w:rPr>
        <w:t xml:space="preserve">financing arrangements </w:t>
      </w:r>
      <w:r>
        <w:rPr>
          <w:rFonts w:ascii="Arial" w:hAnsi="Arial" w:cs="Arial"/>
        </w:rPr>
        <w:t xml:space="preserve">between related </w:t>
      </w:r>
      <w:r w:rsidRPr="006252E9">
        <w:rPr>
          <w:rFonts w:ascii="Arial" w:hAnsi="Arial" w:cs="Arial"/>
        </w:rPr>
        <w:t>entities</w:t>
      </w:r>
      <w:r>
        <w:rPr>
          <w:rFonts w:ascii="Arial" w:hAnsi="Arial" w:cs="Arial"/>
        </w:rPr>
        <w:t xml:space="preserve"> </w:t>
      </w:r>
      <w:r w:rsidRPr="006252E9">
        <w:rPr>
          <w:rFonts w:ascii="Arial" w:hAnsi="Arial" w:cs="Arial"/>
        </w:rPr>
        <w:t xml:space="preserve">within the group </w:t>
      </w:r>
      <w:r>
        <w:rPr>
          <w:rFonts w:ascii="Arial" w:hAnsi="Arial" w:cs="Arial"/>
        </w:rPr>
        <w:t>and</w:t>
      </w:r>
      <w:r w:rsidRPr="006252E9">
        <w:rPr>
          <w:rFonts w:ascii="Arial" w:hAnsi="Arial" w:cs="Arial"/>
        </w:rPr>
        <w:t xml:space="preserve"> </w:t>
      </w:r>
      <w:r>
        <w:rPr>
          <w:rFonts w:ascii="Arial" w:hAnsi="Arial" w:cs="Arial"/>
        </w:rPr>
        <w:t>important</w:t>
      </w:r>
      <w:r w:rsidRPr="006252E9">
        <w:rPr>
          <w:rFonts w:ascii="Arial" w:hAnsi="Arial" w:cs="Arial"/>
        </w:rPr>
        <w:t xml:space="preserve"> financing arrangements with unrelated </w:t>
      </w:r>
      <w:r>
        <w:rPr>
          <w:rFonts w:ascii="Arial" w:hAnsi="Arial" w:cs="Arial"/>
        </w:rPr>
        <w:t>parties</w:t>
      </w:r>
      <w:r w:rsidRPr="006252E9">
        <w:rPr>
          <w:rFonts w:ascii="Arial" w:hAnsi="Arial" w:cs="Arial"/>
        </w:rPr>
        <w:t xml:space="preserve">. </w:t>
      </w:r>
    </w:p>
    <w:p w:rsidR="005B19D8" w:rsidRDefault="005B19D8" w:rsidP="004132A5">
      <w:pPr>
        <w:pStyle w:val="ListParagraph"/>
        <w:spacing w:before="240" w:after="0" w:line="240" w:lineRule="auto"/>
        <w:ind w:left="1218"/>
        <w:jc w:val="both"/>
        <w:rPr>
          <w:rFonts w:ascii="Arial" w:hAnsi="Arial" w:cs="Arial"/>
        </w:rPr>
      </w:pPr>
    </w:p>
    <w:p w:rsidR="005B19D8" w:rsidRDefault="005B19D8" w:rsidP="00EC42C0">
      <w:pPr>
        <w:pStyle w:val="ListParagraph"/>
        <w:numPr>
          <w:ilvl w:val="0"/>
          <w:numId w:val="7"/>
        </w:numPr>
        <w:spacing w:before="240" w:after="0" w:line="240" w:lineRule="auto"/>
        <w:ind w:left="1218" w:hanging="367"/>
        <w:jc w:val="both"/>
        <w:rPr>
          <w:rFonts w:ascii="Arial" w:hAnsi="Arial" w:cs="Arial"/>
        </w:rPr>
      </w:pPr>
      <w:r>
        <w:rPr>
          <w:rFonts w:ascii="Arial" w:hAnsi="Arial" w:cs="Arial"/>
        </w:rPr>
        <w:t xml:space="preserve">The identification of any constituent entities of the MNE group that provides a central financing function for the group, including the country under whose laws the entity is organised and the place of effective management of such entities. </w:t>
      </w:r>
    </w:p>
    <w:p w:rsidR="005B19D8" w:rsidRDefault="005B19D8" w:rsidP="004132A5">
      <w:pPr>
        <w:pStyle w:val="ListParagraph"/>
        <w:spacing w:before="240" w:after="0" w:line="240" w:lineRule="auto"/>
        <w:ind w:left="1218"/>
        <w:jc w:val="both"/>
        <w:rPr>
          <w:rFonts w:ascii="Arial" w:hAnsi="Arial" w:cs="Arial"/>
        </w:rPr>
      </w:pPr>
    </w:p>
    <w:p w:rsidR="005B19D8" w:rsidRDefault="005B19D8" w:rsidP="00EC42C0">
      <w:pPr>
        <w:pStyle w:val="ListParagraph"/>
        <w:numPr>
          <w:ilvl w:val="0"/>
          <w:numId w:val="7"/>
        </w:numPr>
        <w:spacing w:before="240" w:after="0" w:line="240" w:lineRule="auto"/>
        <w:ind w:left="1218" w:hanging="367"/>
        <w:jc w:val="both"/>
        <w:rPr>
          <w:rFonts w:ascii="Arial" w:hAnsi="Arial" w:cs="Arial"/>
        </w:rPr>
      </w:pPr>
      <w:r>
        <w:rPr>
          <w:rFonts w:ascii="Arial" w:hAnsi="Arial" w:cs="Arial"/>
        </w:rPr>
        <w:t xml:space="preserve">A description of the MNE’s general transfer pricing policies related to financing arrangements between related entities. </w:t>
      </w:r>
    </w:p>
    <w:p w:rsidR="005B19D8" w:rsidRPr="00E96710" w:rsidRDefault="005B19D8" w:rsidP="004132A5">
      <w:pPr>
        <w:pStyle w:val="ListParagraph"/>
        <w:rPr>
          <w:rFonts w:ascii="Arial" w:hAnsi="Arial" w:cs="Arial"/>
        </w:rPr>
      </w:pPr>
    </w:p>
    <w:p w:rsidR="005B19D8" w:rsidRPr="00DE0B20" w:rsidRDefault="005B19D8" w:rsidP="00EC42C0">
      <w:pPr>
        <w:pStyle w:val="ListParagraph"/>
        <w:keepNext/>
        <w:numPr>
          <w:ilvl w:val="0"/>
          <w:numId w:val="17"/>
        </w:numPr>
        <w:spacing w:before="240" w:after="0" w:line="240" w:lineRule="auto"/>
        <w:ind w:left="850" w:hanging="493"/>
        <w:jc w:val="both"/>
        <w:rPr>
          <w:rFonts w:ascii="Arial" w:hAnsi="Arial" w:cs="Arial"/>
        </w:rPr>
      </w:pPr>
      <w:r w:rsidRPr="00DE0B20">
        <w:rPr>
          <w:rFonts w:ascii="Arial" w:hAnsi="Arial" w:cs="Arial"/>
        </w:rPr>
        <w:t>Financial and tax positions</w:t>
      </w:r>
    </w:p>
    <w:p w:rsidR="005B19D8" w:rsidRDefault="005B19D8" w:rsidP="004132A5">
      <w:pPr>
        <w:pStyle w:val="ListParagraph"/>
        <w:spacing w:before="240" w:after="0" w:line="240" w:lineRule="auto"/>
        <w:ind w:left="1070"/>
        <w:jc w:val="both"/>
        <w:rPr>
          <w:rFonts w:ascii="Arial" w:hAnsi="Arial" w:cs="Arial"/>
        </w:rPr>
      </w:pPr>
    </w:p>
    <w:p w:rsidR="005B19D8" w:rsidRDefault="005B19D8" w:rsidP="00EC42C0">
      <w:pPr>
        <w:pStyle w:val="ListParagraph"/>
        <w:numPr>
          <w:ilvl w:val="0"/>
          <w:numId w:val="8"/>
        </w:numPr>
        <w:spacing w:before="240" w:after="0" w:line="240" w:lineRule="auto"/>
        <w:ind w:left="1232" w:hanging="381"/>
        <w:jc w:val="both"/>
        <w:rPr>
          <w:rFonts w:ascii="Arial" w:hAnsi="Arial" w:cs="Arial"/>
        </w:rPr>
      </w:pPr>
      <w:r w:rsidRPr="00E96710">
        <w:rPr>
          <w:rFonts w:ascii="Arial" w:hAnsi="Arial" w:cs="Arial"/>
        </w:rPr>
        <w:t xml:space="preserve">The </w:t>
      </w:r>
      <w:r>
        <w:rPr>
          <w:rFonts w:ascii="Arial" w:hAnsi="Arial" w:cs="Arial"/>
        </w:rPr>
        <w:t>MNE’s annual consolidated financial statements for the fiscal year concerned</w:t>
      </w:r>
      <w:r w:rsidRPr="00E96710">
        <w:rPr>
          <w:rFonts w:ascii="Arial" w:hAnsi="Arial" w:cs="Arial"/>
        </w:rPr>
        <w:t>.</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8"/>
        </w:numPr>
        <w:spacing w:before="240" w:after="0" w:line="240" w:lineRule="auto"/>
        <w:ind w:left="1232" w:hanging="381"/>
        <w:jc w:val="both"/>
        <w:rPr>
          <w:rFonts w:ascii="Arial" w:hAnsi="Arial" w:cs="Arial"/>
        </w:rPr>
      </w:pPr>
      <w:r>
        <w:rPr>
          <w:rFonts w:ascii="Arial" w:hAnsi="Arial" w:cs="Arial"/>
        </w:rPr>
        <w:t xml:space="preserve">A list of the MNE group’s existing unilateral advance pricing agreements, bilateral advance pricing agreements and other tax rulings relating to the allocation of income among countries. </w:t>
      </w:r>
    </w:p>
    <w:p w:rsidR="005B19D8" w:rsidRPr="00E96710" w:rsidRDefault="005B19D8" w:rsidP="004132A5">
      <w:pPr>
        <w:pStyle w:val="ListParagraph"/>
        <w:rPr>
          <w:rFonts w:ascii="Arial" w:hAnsi="Arial" w:cs="Arial"/>
        </w:rPr>
      </w:pPr>
    </w:p>
    <w:p w:rsidR="005B19D8" w:rsidRPr="00E96710" w:rsidRDefault="005B19D8" w:rsidP="00EC42C0">
      <w:pPr>
        <w:pStyle w:val="ListParagraph"/>
        <w:numPr>
          <w:ilvl w:val="0"/>
          <w:numId w:val="8"/>
        </w:numPr>
        <w:spacing w:before="240" w:after="0" w:line="240" w:lineRule="auto"/>
        <w:ind w:left="1232" w:hanging="381"/>
        <w:jc w:val="both"/>
        <w:rPr>
          <w:rFonts w:ascii="Arial" w:hAnsi="Arial" w:cs="Arial"/>
        </w:rPr>
      </w:pPr>
      <w:r>
        <w:rPr>
          <w:rFonts w:ascii="Arial" w:hAnsi="Arial" w:cs="Arial"/>
        </w:rPr>
        <w:t xml:space="preserve">Name and location of the constituent entity that files the Country-by-Country Report for the MNE group. </w:t>
      </w:r>
    </w:p>
    <w:p w:rsidR="005B19D8"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Any enterprise that meets one of the following criteria during the fiscal year shall prepare a local file</w:t>
      </w:r>
      <w:r w:rsidRPr="003239BB">
        <w:rPr>
          <w:rFonts w:ascii="Arial" w:hAnsi="Arial" w:cs="Arial"/>
        </w:rPr>
        <w:t>:</w:t>
      </w:r>
    </w:p>
    <w:p w:rsidR="005B19D8" w:rsidRPr="003239BB" w:rsidRDefault="005B19D8" w:rsidP="004132A5">
      <w:pPr>
        <w:pStyle w:val="ListParagraph"/>
        <w:ind w:left="426"/>
        <w:jc w:val="both"/>
        <w:rPr>
          <w:rFonts w:ascii="Arial" w:hAnsi="Arial" w:cs="Arial"/>
        </w:rPr>
      </w:pPr>
    </w:p>
    <w:p w:rsidR="005B19D8" w:rsidRDefault="005B19D8" w:rsidP="00EC42C0">
      <w:pPr>
        <w:pStyle w:val="ListParagraph"/>
        <w:numPr>
          <w:ilvl w:val="0"/>
          <w:numId w:val="9"/>
        </w:numPr>
        <w:tabs>
          <w:tab w:val="clear" w:pos="720"/>
        </w:tabs>
        <w:spacing w:before="240" w:after="0" w:line="240" w:lineRule="auto"/>
        <w:ind w:left="851" w:hanging="491"/>
        <w:jc w:val="both"/>
        <w:rPr>
          <w:rFonts w:ascii="Arial" w:hAnsi="Arial" w:cs="Arial"/>
        </w:rPr>
      </w:pPr>
      <w:r>
        <w:rPr>
          <w:rFonts w:ascii="Arial" w:hAnsi="Arial" w:cs="Arial"/>
        </w:rPr>
        <w:t>The annual related party transfer</w:t>
      </w:r>
      <w:r w:rsidRPr="00933259">
        <w:rPr>
          <w:rFonts w:ascii="Arial" w:hAnsi="Arial" w:cs="Arial"/>
        </w:rPr>
        <w:t xml:space="preserve"> of ownership of tangible assets </w:t>
      </w:r>
      <w:r>
        <w:rPr>
          <w:rFonts w:ascii="Arial" w:hAnsi="Arial" w:cs="Arial"/>
        </w:rPr>
        <w:t xml:space="preserve">exceeds 200 million RMB </w:t>
      </w:r>
      <w:r w:rsidRPr="00933259">
        <w:rPr>
          <w:rFonts w:ascii="Arial" w:hAnsi="Arial" w:cs="Arial"/>
        </w:rPr>
        <w:t>(</w:t>
      </w:r>
      <w:r>
        <w:rPr>
          <w:rFonts w:ascii="Arial" w:hAnsi="Arial" w:cs="Arial"/>
        </w:rPr>
        <w:t xml:space="preserve">for toll manufacturing transaction, </w:t>
      </w:r>
      <w:r w:rsidRPr="00933259">
        <w:rPr>
          <w:rFonts w:ascii="Arial" w:hAnsi="Arial" w:cs="Arial"/>
        </w:rPr>
        <w:t xml:space="preserve">the amount </w:t>
      </w:r>
      <w:r>
        <w:rPr>
          <w:rFonts w:ascii="Arial" w:hAnsi="Arial" w:cs="Arial"/>
        </w:rPr>
        <w:t>is calculated using the import/export customs declaration prices</w:t>
      </w:r>
      <w:r w:rsidRPr="00933259">
        <w:rPr>
          <w:rFonts w:ascii="Arial" w:hAnsi="Arial" w:cs="Arial"/>
        </w:rPr>
        <w:t>).</w:t>
      </w:r>
      <w:r w:rsidRPr="00931215">
        <w:rPr>
          <w:rFonts w:ascii="Arial" w:hAnsi="Arial" w:cs="Arial"/>
        </w:rPr>
        <w:t xml:space="preserve"> </w:t>
      </w:r>
    </w:p>
    <w:p w:rsidR="005B19D8"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9"/>
        </w:numPr>
        <w:tabs>
          <w:tab w:val="clear" w:pos="720"/>
        </w:tabs>
        <w:spacing w:before="240" w:after="0" w:line="240" w:lineRule="auto"/>
        <w:ind w:left="851" w:hanging="491"/>
        <w:jc w:val="both"/>
        <w:rPr>
          <w:rFonts w:ascii="Arial" w:hAnsi="Arial" w:cs="Arial"/>
        </w:rPr>
      </w:pPr>
      <w:r>
        <w:rPr>
          <w:rFonts w:ascii="Arial" w:hAnsi="Arial" w:cs="Arial"/>
        </w:rPr>
        <w:lastRenderedPageBreak/>
        <w:t xml:space="preserve">The annual related party transfer of </w:t>
      </w:r>
      <w:r w:rsidRPr="00933259">
        <w:rPr>
          <w:rFonts w:ascii="Arial" w:hAnsi="Arial" w:cs="Arial"/>
        </w:rPr>
        <w:t xml:space="preserve">financial assets </w:t>
      </w:r>
      <w:r>
        <w:rPr>
          <w:rFonts w:ascii="Arial" w:hAnsi="Arial" w:cs="Arial"/>
        </w:rPr>
        <w:t>exceeds1</w:t>
      </w:r>
      <w:r w:rsidRPr="00933259">
        <w:rPr>
          <w:rFonts w:ascii="Arial" w:hAnsi="Arial" w:cs="Arial"/>
        </w:rPr>
        <w:t>00 million RMB.</w:t>
      </w:r>
    </w:p>
    <w:p w:rsidR="005B19D8" w:rsidRPr="00933259" w:rsidRDefault="005B19D8" w:rsidP="004132A5">
      <w:pPr>
        <w:pStyle w:val="ListParagraph"/>
        <w:rPr>
          <w:rFonts w:ascii="Arial" w:hAnsi="Arial" w:cs="Arial"/>
        </w:rPr>
      </w:pPr>
    </w:p>
    <w:p w:rsidR="005B19D8" w:rsidRDefault="005B19D8" w:rsidP="00EC42C0">
      <w:pPr>
        <w:pStyle w:val="ListParagraph"/>
        <w:numPr>
          <w:ilvl w:val="0"/>
          <w:numId w:val="9"/>
        </w:numPr>
        <w:tabs>
          <w:tab w:val="clear" w:pos="720"/>
        </w:tabs>
        <w:spacing w:before="240" w:after="0" w:line="240" w:lineRule="auto"/>
        <w:ind w:left="851" w:hanging="491"/>
        <w:jc w:val="both"/>
        <w:rPr>
          <w:rFonts w:ascii="Arial" w:hAnsi="Arial" w:cs="Arial"/>
        </w:rPr>
      </w:pPr>
      <w:r>
        <w:rPr>
          <w:rFonts w:ascii="Arial" w:hAnsi="Arial" w:cs="Arial"/>
        </w:rPr>
        <w:t>The annual related party transfer of ownership of intangibles exceeds 1</w:t>
      </w:r>
      <w:r w:rsidRPr="00933259">
        <w:rPr>
          <w:rFonts w:ascii="Arial" w:hAnsi="Arial" w:cs="Arial"/>
        </w:rPr>
        <w:t>00 million RMB.</w:t>
      </w:r>
    </w:p>
    <w:p w:rsidR="005B19D8" w:rsidRPr="00933259" w:rsidRDefault="005B19D8" w:rsidP="004132A5">
      <w:pPr>
        <w:pStyle w:val="ListParagraph"/>
        <w:spacing w:before="240" w:after="0" w:line="240" w:lineRule="auto"/>
        <w:ind w:left="851"/>
        <w:jc w:val="both"/>
        <w:rPr>
          <w:rFonts w:cs="Times New Roman"/>
        </w:rPr>
      </w:pPr>
    </w:p>
    <w:p w:rsidR="005B19D8" w:rsidRPr="00933259" w:rsidRDefault="005B19D8" w:rsidP="00EC42C0">
      <w:pPr>
        <w:pStyle w:val="ListParagraph"/>
        <w:numPr>
          <w:ilvl w:val="0"/>
          <w:numId w:val="9"/>
        </w:numPr>
        <w:tabs>
          <w:tab w:val="clear" w:pos="720"/>
        </w:tabs>
        <w:spacing w:before="240" w:after="0" w:line="240" w:lineRule="auto"/>
        <w:ind w:left="851" w:hanging="491"/>
        <w:jc w:val="both"/>
        <w:rPr>
          <w:rFonts w:ascii="Arial" w:hAnsi="Arial" w:cs="Arial"/>
        </w:rPr>
      </w:pPr>
      <w:r>
        <w:rPr>
          <w:rFonts w:ascii="Arial" w:hAnsi="Arial" w:cs="Arial"/>
        </w:rPr>
        <w:t>The annual total amount of other related party transactions exceeds 4</w:t>
      </w:r>
      <w:r w:rsidRPr="00933259">
        <w:rPr>
          <w:rFonts w:ascii="Arial" w:hAnsi="Arial" w:cs="Arial"/>
        </w:rPr>
        <w:t xml:space="preserve">0 million RMB. </w:t>
      </w:r>
    </w:p>
    <w:p w:rsidR="005B19D8"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L</w:t>
      </w:r>
      <w:r w:rsidRPr="00D24DF5">
        <w:rPr>
          <w:rFonts w:ascii="Arial" w:hAnsi="Arial" w:cs="Arial"/>
        </w:rPr>
        <w:t xml:space="preserve">ocal file </w:t>
      </w:r>
      <w:r>
        <w:rPr>
          <w:rFonts w:ascii="Arial" w:hAnsi="Arial" w:cs="Arial"/>
        </w:rPr>
        <w:t xml:space="preserve">is to </w:t>
      </w:r>
      <w:r w:rsidRPr="00D24DF5">
        <w:rPr>
          <w:rFonts w:ascii="Arial" w:hAnsi="Arial" w:cs="Arial"/>
        </w:rPr>
        <w:t xml:space="preserve">disclose detailed information </w:t>
      </w:r>
      <w:r>
        <w:rPr>
          <w:rFonts w:ascii="Arial" w:hAnsi="Arial" w:cs="Arial"/>
        </w:rPr>
        <w:t>on</w:t>
      </w:r>
      <w:r w:rsidRPr="00D24DF5">
        <w:rPr>
          <w:rFonts w:ascii="Arial" w:hAnsi="Arial" w:cs="Arial"/>
        </w:rPr>
        <w:t xml:space="preserve"> the enterprise’s related party transactions,</w:t>
      </w:r>
      <w:r>
        <w:rPr>
          <w:rFonts w:ascii="Arial" w:hAnsi="Arial" w:cs="Arial"/>
        </w:rPr>
        <w:t xml:space="preserve"> including the following</w:t>
      </w:r>
      <w:r w:rsidRPr="00D24DF5">
        <w:rPr>
          <w:rFonts w:ascii="Arial" w:hAnsi="Arial" w:cs="Arial"/>
        </w:rPr>
        <w:t>:</w:t>
      </w:r>
    </w:p>
    <w:p w:rsidR="005B19D8" w:rsidRPr="00D24DF5" w:rsidRDefault="005B19D8" w:rsidP="004132A5">
      <w:pPr>
        <w:pStyle w:val="ListParagraph"/>
        <w:ind w:left="426"/>
        <w:jc w:val="both"/>
        <w:rPr>
          <w:rFonts w:ascii="Arial" w:hAnsi="Arial" w:cs="Arial"/>
        </w:rPr>
      </w:pPr>
    </w:p>
    <w:p w:rsidR="005B19D8" w:rsidRDefault="005B19D8" w:rsidP="00EC42C0">
      <w:pPr>
        <w:pStyle w:val="ListParagraph"/>
        <w:numPr>
          <w:ilvl w:val="0"/>
          <w:numId w:val="19"/>
        </w:numPr>
        <w:spacing w:before="240" w:after="0" w:line="240" w:lineRule="auto"/>
        <w:ind w:left="851" w:hanging="491"/>
        <w:jc w:val="both"/>
        <w:rPr>
          <w:rFonts w:ascii="Arial" w:hAnsi="Arial" w:cs="Arial"/>
        </w:rPr>
      </w:pPr>
      <w:r w:rsidRPr="00331520">
        <w:rPr>
          <w:rFonts w:ascii="Arial" w:hAnsi="Arial" w:cs="Arial"/>
        </w:rPr>
        <w:t>Overview of the enterprise</w:t>
      </w:r>
    </w:p>
    <w:p w:rsidR="005B19D8" w:rsidRPr="00331520"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10"/>
        </w:numPr>
        <w:spacing w:before="240" w:after="0" w:line="240" w:lineRule="auto"/>
        <w:ind w:left="1246" w:hanging="434"/>
        <w:jc w:val="both"/>
        <w:rPr>
          <w:rFonts w:ascii="Arial" w:hAnsi="Arial" w:cs="Arial"/>
        </w:rPr>
      </w:pPr>
      <w:r w:rsidRPr="00C75194">
        <w:rPr>
          <w:rFonts w:ascii="Arial" w:hAnsi="Arial" w:cs="Arial"/>
        </w:rPr>
        <w:t xml:space="preserve">Organisational structure, including the </w:t>
      </w:r>
      <w:r>
        <w:rPr>
          <w:rFonts w:ascii="Arial" w:hAnsi="Arial" w:cs="Arial"/>
        </w:rPr>
        <w:t>setup</w:t>
      </w:r>
      <w:r w:rsidRPr="00C75194">
        <w:rPr>
          <w:rFonts w:ascii="Arial" w:hAnsi="Arial" w:cs="Arial"/>
        </w:rPr>
        <w:t xml:space="preserve">, </w:t>
      </w:r>
      <w:r>
        <w:rPr>
          <w:rFonts w:ascii="Arial" w:hAnsi="Arial" w:cs="Arial"/>
        </w:rPr>
        <w:t>scope of responsibility</w:t>
      </w:r>
      <w:r w:rsidRPr="00C75194">
        <w:rPr>
          <w:rFonts w:ascii="Arial" w:hAnsi="Arial" w:cs="Arial"/>
        </w:rPr>
        <w:t xml:space="preserve"> and number of employees of each functional department</w:t>
      </w:r>
      <w:r>
        <w:rPr>
          <w:rFonts w:ascii="Arial" w:hAnsi="Arial" w:cs="Arial"/>
        </w:rPr>
        <w:t xml:space="preserve"> of the enterprise</w:t>
      </w:r>
      <w:r w:rsidRPr="00C75194">
        <w:rPr>
          <w:rFonts w:ascii="Arial" w:hAnsi="Arial" w:cs="Arial"/>
        </w:rPr>
        <w:t>.</w:t>
      </w:r>
    </w:p>
    <w:p w:rsidR="005B19D8" w:rsidRDefault="005B19D8" w:rsidP="004132A5">
      <w:pPr>
        <w:pStyle w:val="ListParagraph"/>
        <w:spacing w:before="240" w:after="0" w:line="240" w:lineRule="auto"/>
        <w:ind w:left="1246"/>
        <w:jc w:val="both"/>
        <w:rPr>
          <w:rFonts w:ascii="Arial" w:hAnsi="Arial" w:cs="Arial"/>
        </w:rPr>
      </w:pPr>
    </w:p>
    <w:p w:rsidR="005B19D8" w:rsidRDefault="005B19D8" w:rsidP="00EC42C0">
      <w:pPr>
        <w:pStyle w:val="ListParagraph"/>
        <w:numPr>
          <w:ilvl w:val="0"/>
          <w:numId w:val="10"/>
        </w:numPr>
        <w:spacing w:before="240" w:after="0" w:line="240" w:lineRule="auto"/>
        <w:ind w:left="1246" w:hanging="434"/>
        <w:jc w:val="both"/>
        <w:rPr>
          <w:rFonts w:ascii="Arial" w:hAnsi="Arial" w:cs="Arial"/>
        </w:rPr>
      </w:pPr>
      <w:r w:rsidRPr="00331520">
        <w:rPr>
          <w:rFonts w:ascii="Arial" w:hAnsi="Arial" w:cs="Arial"/>
        </w:rPr>
        <w:t xml:space="preserve">Management structure, </w:t>
      </w:r>
      <w:r>
        <w:rPr>
          <w:rFonts w:ascii="Arial" w:hAnsi="Arial" w:cs="Arial"/>
        </w:rPr>
        <w:t>including the parties to which</w:t>
      </w:r>
      <w:r w:rsidRPr="00331520">
        <w:rPr>
          <w:rFonts w:ascii="Arial" w:hAnsi="Arial" w:cs="Arial"/>
        </w:rPr>
        <w:t xml:space="preserve"> each level of </w:t>
      </w:r>
      <w:r>
        <w:rPr>
          <w:rFonts w:ascii="Arial" w:hAnsi="Arial" w:cs="Arial"/>
        </w:rPr>
        <w:t xml:space="preserve">the </w:t>
      </w:r>
      <w:r w:rsidRPr="00331520">
        <w:rPr>
          <w:rFonts w:ascii="Arial" w:hAnsi="Arial" w:cs="Arial"/>
        </w:rPr>
        <w:t>management reports, and the location</w:t>
      </w:r>
      <w:r>
        <w:rPr>
          <w:rFonts w:ascii="Arial" w:hAnsi="Arial" w:cs="Arial"/>
        </w:rPr>
        <w:t>s</w:t>
      </w:r>
      <w:r w:rsidRPr="00331520">
        <w:rPr>
          <w:rFonts w:ascii="Arial" w:hAnsi="Arial" w:cs="Arial"/>
        </w:rPr>
        <w:t xml:space="preserve"> in which </w:t>
      </w:r>
      <w:r>
        <w:rPr>
          <w:rFonts w:ascii="Arial" w:hAnsi="Arial" w:cs="Arial"/>
        </w:rPr>
        <w:t xml:space="preserve">such </w:t>
      </w:r>
      <w:r w:rsidRPr="00331520">
        <w:rPr>
          <w:rFonts w:ascii="Arial" w:hAnsi="Arial" w:cs="Arial"/>
        </w:rPr>
        <w:t xml:space="preserve">parties </w:t>
      </w:r>
      <w:r>
        <w:rPr>
          <w:rFonts w:ascii="Arial" w:hAnsi="Arial" w:cs="Arial"/>
        </w:rPr>
        <w:t>maintain their principal offices</w:t>
      </w:r>
      <w:r w:rsidRPr="00331520">
        <w:rPr>
          <w:rFonts w:ascii="Arial" w:hAnsi="Arial" w:cs="Arial"/>
        </w:rPr>
        <w:t>, etc.</w:t>
      </w:r>
    </w:p>
    <w:p w:rsidR="005B19D8" w:rsidRDefault="005B19D8" w:rsidP="004132A5">
      <w:pPr>
        <w:pStyle w:val="ListParagraph"/>
        <w:spacing w:before="240" w:after="0" w:line="240" w:lineRule="auto"/>
        <w:ind w:left="1246"/>
        <w:jc w:val="both"/>
        <w:rPr>
          <w:rFonts w:ascii="Arial" w:hAnsi="Arial" w:cs="Arial"/>
        </w:rPr>
      </w:pPr>
    </w:p>
    <w:p w:rsidR="005B19D8" w:rsidRDefault="005B19D8" w:rsidP="00EC42C0">
      <w:pPr>
        <w:pStyle w:val="ListParagraph"/>
        <w:numPr>
          <w:ilvl w:val="0"/>
          <w:numId w:val="10"/>
        </w:numPr>
        <w:spacing w:before="240" w:after="0" w:line="240" w:lineRule="auto"/>
        <w:ind w:left="1246" w:hanging="434"/>
        <w:jc w:val="both"/>
        <w:rPr>
          <w:rFonts w:ascii="Arial" w:hAnsi="Arial" w:cs="Arial"/>
        </w:rPr>
      </w:pPr>
      <w:r>
        <w:rPr>
          <w:rFonts w:ascii="Arial" w:hAnsi="Arial" w:cs="Arial"/>
        </w:rPr>
        <w:t>Industry description</w:t>
      </w:r>
      <w:r w:rsidRPr="00331520">
        <w:rPr>
          <w:rFonts w:ascii="Arial" w:hAnsi="Arial" w:cs="Arial"/>
        </w:rPr>
        <w:t xml:space="preserve">, including </w:t>
      </w:r>
      <w:r>
        <w:rPr>
          <w:rFonts w:ascii="Arial" w:hAnsi="Arial" w:cs="Arial"/>
        </w:rPr>
        <w:t xml:space="preserve">an overview of the </w:t>
      </w:r>
      <w:r w:rsidRPr="00331520">
        <w:rPr>
          <w:rFonts w:ascii="Arial" w:hAnsi="Arial" w:cs="Arial"/>
        </w:rPr>
        <w:t xml:space="preserve">industry </w:t>
      </w:r>
      <w:r>
        <w:rPr>
          <w:rFonts w:ascii="Arial" w:hAnsi="Arial" w:cs="Arial"/>
        </w:rPr>
        <w:t xml:space="preserve">in which the enterprise operates and its </w:t>
      </w:r>
      <w:r w:rsidRPr="00331520">
        <w:rPr>
          <w:rFonts w:ascii="Arial" w:hAnsi="Arial" w:cs="Arial"/>
        </w:rPr>
        <w:t>development,</w:t>
      </w:r>
      <w:r w:rsidRPr="009C6E25">
        <w:rPr>
          <w:rFonts w:ascii="Arial" w:hAnsi="Arial" w:cs="Arial"/>
        </w:rPr>
        <w:t xml:space="preserve"> </w:t>
      </w:r>
      <w:r>
        <w:rPr>
          <w:rFonts w:ascii="Arial" w:hAnsi="Arial" w:cs="Arial"/>
        </w:rPr>
        <w:t xml:space="preserve">other </w:t>
      </w:r>
      <w:r w:rsidRPr="009C6E25">
        <w:rPr>
          <w:rFonts w:ascii="Arial" w:hAnsi="Arial" w:cs="Arial"/>
        </w:rPr>
        <w:t xml:space="preserve">major economic and legal </w:t>
      </w:r>
      <w:r>
        <w:rPr>
          <w:rFonts w:ascii="Arial" w:hAnsi="Arial" w:cs="Arial"/>
        </w:rPr>
        <w:t>factors</w:t>
      </w:r>
      <w:r w:rsidRPr="009C6E25">
        <w:rPr>
          <w:rFonts w:ascii="Arial" w:hAnsi="Arial" w:cs="Arial"/>
        </w:rPr>
        <w:t xml:space="preserve"> affecting the industry, such as </w:t>
      </w:r>
      <w:r w:rsidRPr="00331520">
        <w:rPr>
          <w:rFonts w:ascii="Arial" w:hAnsi="Arial" w:cs="Arial"/>
        </w:rPr>
        <w:t xml:space="preserve">industry policies, </w:t>
      </w:r>
      <w:r>
        <w:rPr>
          <w:rFonts w:ascii="Arial" w:hAnsi="Arial" w:cs="Arial"/>
        </w:rPr>
        <w:t>trade</w:t>
      </w:r>
      <w:r w:rsidRPr="00331520">
        <w:rPr>
          <w:rFonts w:ascii="Arial" w:hAnsi="Arial" w:cs="Arial"/>
        </w:rPr>
        <w:t xml:space="preserve"> restrictions</w:t>
      </w:r>
      <w:r>
        <w:rPr>
          <w:rFonts w:ascii="Arial" w:hAnsi="Arial" w:cs="Arial"/>
        </w:rPr>
        <w:t>,</w:t>
      </w:r>
      <w:r w:rsidRPr="00331520">
        <w:rPr>
          <w:rFonts w:ascii="Arial" w:hAnsi="Arial" w:cs="Arial"/>
        </w:rPr>
        <w:t xml:space="preserve"> </w:t>
      </w:r>
      <w:r>
        <w:rPr>
          <w:rFonts w:ascii="Arial" w:hAnsi="Arial" w:cs="Arial"/>
        </w:rPr>
        <w:t>as well as</w:t>
      </w:r>
      <w:r w:rsidRPr="00331520">
        <w:rPr>
          <w:rFonts w:ascii="Arial" w:hAnsi="Arial" w:cs="Arial"/>
        </w:rPr>
        <w:t xml:space="preserve"> key competitors.</w:t>
      </w:r>
    </w:p>
    <w:p w:rsidR="005B19D8" w:rsidRPr="00331520" w:rsidRDefault="005B19D8" w:rsidP="004132A5">
      <w:pPr>
        <w:pStyle w:val="ListParagraph"/>
        <w:rPr>
          <w:rFonts w:ascii="Arial" w:hAnsi="Arial" w:cs="Arial"/>
        </w:rPr>
      </w:pPr>
    </w:p>
    <w:p w:rsidR="005B19D8" w:rsidRDefault="005B19D8" w:rsidP="00EC42C0">
      <w:pPr>
        <w:pStyle w:val="ListParagraph"/>
        <w:numPr>
          <w:ilvl w:val="0"/>
          <w:numId w:val="10"/>
        </w:numPr>
        <w:spacing w:before="240" w:after="0" w:line="240" w:lineRule="auto"/>
        <w:ind w:left="1246" w:hanging="434"/>
        <w:jc w:val="both"/>
        <w:rPr>
          <w:rFonts w:ascii="Arial" w:hAnsi="Arial" w:cs="Arial"/>
        </w:rPr>
      </w:pPr>
      <w:r>
        <w:rPr>
          <w:rFonts w:ascii="Arial" w:hAnsi="Arial" w:cs="Arial"/>
        </w:rPr>
        <w:t>Business strategies</w:t>
      </w:r>
      <w:r w:rsidRPr="00331520">
        <w:rPr>
          <w:rFonts w:ascii="Arial" w:hAnsi="Arial" w:cs="Arial"/>
        </w:rPr>
        <w:t xml:space="preserve">, including the </w:t>
      </w:r>
      <w:r>
        <w:rPr>
          <w:rFonts w:ascii="Arial" w:hAnsi="Arial" w:cs="Arial"/>
        </w:rPr>
        <w:t>workflow</w:t>
      </w:r>
      <w:r w:rsidRPr="00331520">
        <w:rPr>
          <w:rFonts w:ascii="Arial" w:hAnsi="Arial" w:cs="Arial"/>
        </w:rPr>
        <w:t>, operation</w:t>
      </w:r>
      <w:r>
        <w:rPr>
          <w:rFonts w:ascii="Arial" w:hAnsi="Arial" w:cs="Arial"/>
        </w:rPr>
        <w:t>al</w:t>
      </w:r>
      <w:r w:rsidRPr="00331520">
        <w:rPr>
          <w:rFonts w:ascii="Arial" w:hAnsi="Arial" w:cs="Arial"/>
        </w:rPr>
        <w:t xml:space="preserve"> model and </w:t>
      </w:r>
      <w:r>
        <w:rPr>
          <w:rFonts w:ascii="Arial" w:hAnsi="Arial" w:cs="Arial"/>
        </w:rPr>
        <w:t xml:space="preserve">factors that contribute to </w:t>
      </w:r>
      <w:r w:rsidRPr="00331520">
        <w:rPr>
          <w:rFonts w:ascii="Arial" w:hAnsi="Arial" w:cs="Arial"/>
        </w:rPr>
        <w:t xml:space="preserve">value </w:t>
      </w:r>
      <w:r>
        <w:rPr>
          <w:rFonts w:ascii="Arial" w:hAnsi="Arial" w:cs="Arial"/>
        </w:rPr>
        <w:t>creation, etc.,</w:t>
      </w:r>
      <w:r w:rsidRPr="00331520">
        <w:rPr>
          <w:rFonts w:ascii="Arial" w:hAnsi="Arial" w:cs="Arial"/>
        </w:rPr>
        <w:t xml:space="preserve"> of each department</w:t>
      </w:r>
      <w:r>
        <w:rPr>
          <w:rFonts w:ascii="Arial" w:hAnsi="Arial" w:cs="Arial"/>
        </w:rPr>
        <w:t xml:space="preserve"> and each </w:t>
      </w:r>
      <w:r w:rsidRPr="00AC4CB5">
        <w:rPr>
          <w:rFonts w:ascii="Arial" w:hAnsi="Arial" w:cs="Arial"/>
        </w:rPr>
        <w:t>operational stage</w:t>
      </w:r>
      <w:r>
        <w:rPr>
          <w:rFonts w:ascii="Arial" w:hAnsi="Arial" w:cs="Arial"/>
        </w:rPr>
        <w:t xml:space="preserve"> of the enterprise</w:t>
      </w:r>
      <w:r w:rsidRPr="00331520">
        <w:rPr>
          <w:rFonts w:ascii="Arial" w:hAnsi="Arial" w:cs="Arial"/>
        </w:rPr>
        <w:t>.</w:t>
      </w:r>
    </w:p>
    <w:p w:rsidR="005B19D8" w:rsidRPr="00331520" w:rsidRDefault="005B19D8" w:rsidP="004132A5">
      <w:pPr>
        <w:pStyle w:val="ListParagraph"/>
        <w:rPr>
          <w:rFonts w:ascii="Arial" w:hAnsi="Arial" w:cs="Arial"/>
        </w:rPr>
      </w:pPr>
    </w:p>
    <w:p w:rsidR="005B19D8" w:rsidRDefault="005B19D8" w:rsidP="00EC42C0">
      <w:pPr>
        <w:pStyle w:val="ListParagraph"/>
        <w:numPr>
          <w:ilvl w:val="0"/>
          <w:numId w:val="10"/>
        </w:numPr>
        <w:spacing w:before="240" w:after="0" w:line="240" w:lineRule="auto"/>
        <w:ind w:left="1246" w:hanging="434"/>
        <w:jc w:val="both"/>
        <w:rPr>
          <w:rFonts w:ascii="Arial" w:hAnsi="Arial" w:cs="Arial"/>
        </w:rPr>
      </w:pPr>
      <w:r>
        <w:rPr>
          <w:rFonts w:ascii="Arial" w:hAnsi="Arial" w:cs="Arial"/>
        </w:rPr>
        <w:t>Financial</w:t>
      </w:r>
      <w:r w:rsidRPr="00C84508">
        <w:rPr>
          <w:rFonts w:ascii="Arial" w:hAnsi="Arial" w:cs="Arial"/>
        </w:rPr>
        <w:t xml:space="preserve"> data, including turnover, cost</w:t>
      </w:r>
      <w:r>
        <w:rPr>
          <w:rFonts w:ascii="Arial" w:hAnsi="Arial" w:cs="Arial"/>
        </w:rPr>
        <w:t>s</w:t>
      </w:r>
      <w:r w:rsidRPr="00C84508">
        <w:rPr>
          <w:rFonts w:ascii="Arial" w:hAnsi="Arial" w:cs="Arial"/>
        </w:rPr>
        <w:t>, expense</w:t>
      </w:r>
      <w:r>
        <w:rPr>
          <w:rFonts w:ascii="Arial" w:hAnsi="Arial" w:cs="Arial"/>
        </w:rPr>
        <w:t>s</w:t>
      </w:r>
      <w:r w:rsidRPr="00C84508">
        <w:rPr>
          <w:rFonts w:ascii="Arial" w:hAnsi="Arial" w:cs="Arial"/>
        </w:rPr>
        <w:t xml:space="preserve"> and profit</w:t>
      </w:r>
      <w:r>
        <w:rPr>
          <w:rFonts w:ascii="Arial" w:hAnsi="Arial" w:cs="Arial"/>
        </w:rPr>
        <w:t>s</w:t>
      </w:r>
      <w:r w:rsidRPr="00C84508">
        <w:rPr>
          <w:rFonts w:ascii="Arial" w:hAnsi="Arial" w:cs="Arial"/>
        </w:rPr>
        <w:t xml:space="preserve"> for the different types of business and product offerings</w:t>
      </w:r>
      <w:r>
        <w:rPr>
          <w:rFonts w:ascii="Arial" w:hAnsi="Arial" w:cs="Arial"/>
        </w:rPr>
        <w:t xml:space="preserve"> of the enterprise</w:t>
      </w:r>
      <w:r w:rsidRPr="00C84508">
        <w:rPr>
          <w:rFonts w:ascii="Arial" w:hAnsi="Arial" w:cs="Arial"/>
        </w:rPr>
        <w:t>.</w:t>
      </w:r>
    </w:p>
    <w:p w:rsidR="005B19D8" w:rsidRPr="003911F0" w:rsidRDefault="005B19D8" w:rsidP="004132A5">
      <w:pPr>
        <w:pStyle w:val="ListParagraph"/>
        <w:rPr>
          <w:rFonts w:ascii="Arial" w:hAnsi="Arial" w:cs="Arial"/>
        </w:rPr>
      </w:pPr>
    </w:p>
    <w:p w:rsidR="005B19D8" w:rsidRDefault="005B19D8" w:rsidP="00EC42C0">
      <w:pPr>
        <w:pStyle w:val="ListParagraph"/>
        <w:numPr>
          <w:ilvl w:val="0"/>
          <w:numId w:val="10"/>
        </w:numPr>
        <w:spacing w:before="240" w:after="0" w:line="240" w:lineRule="auto"/>
        <w:ind w:left="1246" w:hanging="434"/>
        <w:jc w:val="both"/>
        <w:rPr>
          <w:rFonts w:ascii="Arial" w:hAnsi="Arial" w:cs="Arial"/>
        </w:rPr>
      </w:pPr>
      <w:r>
        <w:rPr>
          <w:rFonts w:ascii="Arial" w:hAnsi="Arial" w:cs="Arial"/>
        </w:rPr>
        <w:t>A description of business r</w:t>
      </w:r>
      <w:r w:rsidRPr="00331520">
        <w:rPr>
          <w:rFonts w:ascii="Arial" w:hAnsi="Arial" w:cs="Arial"/>
        </w:rPr>
        <w:t>estructuring</w:t>
      </w:r>
      <w:r>
        <w:rPr>
          <w:rFonts w:ascii="Arial" w:hAnsi="Arial" w:cs="Arial"/>
        </w:rPr>
        <w:t>s</w:t>
      </w:r>
      <w:r w:rsidRPr="00331520">
        <w:rPr>
          <w:rFonts w:ascii="Arial" w:hAnsi="Arial" w:cs="Arial"/>
        </w:rPr>
        <w:t xml:space="preserve"> or intangibles</w:t>
      </w:r>
      <w:r>
        <w:rPr>
          <w:rFonts w:ascii="Arial" w:hAnsi="Arial" w:cs="Arial"/>
        </w:rPr>
        <w:t xml:space="preserve"> transfers in which the enterprise has been involved in or affected by and an explanation of those aspects of such transactions affect the enterprise</w:t>
      </w:r>
      <w:r w:rsidRPr="00331520">
        <w:rPr>
          <w:rFonts w:ascii="Arial" w:hAnsi="Arial" w:cs="Arial"/>
        </w:rPr>
        <w:t>.</w:t>
      </w:r>
    </w:p>
    <w:p w:rsidR="005B19D8" w:rsidRDefault="005B19D8" w:rsidP="004132A5">
      <w:pPr>
        <w:pStyle w:val="ListParagraph"/>
        <w:spacing w:before="240" w:after="0" w:line="240" w:lineRule="auto"/>
        <w:ind w:left="851"/>
        <w:jc w:val="both"/>
        <w:rPr>
          <w:rFonts w:ascii="Arial" w:hAnsi="Arial" w:cs="Arial"/>
        </w:rPr>
      </w:pPr>
    </w:p>
    <w:p w:rsidR="005B19D8" w:rsidRPr="00D24DF5" w:rsidRDefault="005B19D8" w:rsidP="00EC42C0">
      <w:pPr>
        <w:pStyle w:val="ListParagraph"/>
        <w:numPr>
          <w:ilvl w:val="0"/>
          <w:numId w:val="19"/>
        </w:numPr>
        <w:spacing w:before="240" w:after="0" w:line="240" w:lineRule="auto"/>
        <w:ind w:left="851" w:hanging="491"/>
        <w:jc w:val="both"/>
        <w:rPr>
          <w:rFonts w:ascii="Arial" w:hAnsi="Arial" w:cs="Arial"/>
        </w:rPr>
      </w:pPr>
      <w:r>
        <w:rPr>
          <w:rFonts w:ascii="Arial" w:hAnsi="Arial" w:cs="Arial"/>
        </w:rPr>
        <w:t>R</w:t>
      </w:r>
      <w:r w:rsidRPr="00D24DF5">
        <w:rPr>
          <w:rFonts w:ascii="Arial" w:hAnsi="Arial" w:cs="Arial"/>
        </w:rPr>
        <w:t xml:space="preserve">elated party </w:t>
      </w:r>
      <w:r>
        <w:rPr>
          <w:rFonts w:ascii="Arial" w:hAnsi="Arial" w:cs="Arial"/>
        </w:rPr>
        <w:t>relationship</w:t>
      </w:r>
    </w:p>
    <w:p w:rsidR="005B19D8" w:rsidRDefault="005B19D8" w:rsidP="004132A5">
      <w:pPr>
        <w:pStyle w:val="ListParagraph"/>
        <w:spacing w:before="240" w:after="0" w:line="240" w:lineRule="auto"/>
        <w:ind w:left="1070"/>
        <w:jc w:val="both"/>
        <w:rPr>
          <w:rFonts w:ascii="Arial" w:hAnsi="Arial" w:cs="Arial"/>
        </w:rPr>
      </w:pPr>
    </w:p>
    <w:p w:rsidR="005B19D8" w:rsidRDefault="005B19D8" w:rsidP="00EC42C0">
      <w:pPr>
        <w:pStyle w:val="ListParagraph"/>
        <w:numPr>
          <w:ilvl w:val="0"/>
          <w:numId w:val="11"/>
        </w:numPr>
        <w:spacing w:before="240" w:after="0" w:line="240" w:lineRule="auto"/>
        <w:ind w:left="1232" w:hanging="381"/>
        <w:jc w:val="both"/>
        <w:rPr>
          <w:rFonts w:ascii="Arial" w:hAnsi="Arial" w:cs="Arial"/>
        </w:rPr>
      </w:pPr>
      <w:r w:rsidRPr="00303320">
        <w:rPr>
          <w:rFonts w:ascii="Arial" w:hAnsi="Arial" w:cs="Arial"/>
        </w:rPr>
        <w:t xml:space="preserve">Information </w:t>
      </w:r>
      <w:r>
        <w:rPr>
          <w:rFonts w:ascii="Arial" w:hAnsi="Arial" w:cs="Arial"/>
        </w:rPr>
        <w:t xml:space="preserve">on related parties </w:t>
      </w:r>
      <w:r w:rsidRPr="00303320">
        <w:rPr>
          <w:rFonts w:ascii="Arial" w:hAnsi="Arial" w:cs="Arial"/>
        </w:rPr>
        <w:t>including</w:t>
      </w:r>
      <w:r>
        <w:rPr>
          <w:rFonts w:ascii="Arial" w:hAnsi="Arial" w:cs="Arial"/>
        </w:rPr>
        <w:t xml:space="preserve"> the name, legal representatives, composition of senior management, address of actual operation of any related party (enterprise)</w:t>
      </w:r>
      <w:r w:rsidRPr="00303320">
        <w:rPr>
          <w:rFonts w:ascii="Arial" w:hAnsi="Arial" w:cs="Arial"/>
        </w:rPr>
        <w:t xml:space="preserve"> </w:t>
      </w:r>
      <w:r>
        <w:rPr>
          <w:rFonts w:ascii="Arial" w:hAnsi="Arial" w:cs="Arial"/>
        </w:rPr>
        <w:t>that</w:t>
      </w:r>
      <w:r w:rsidRPr="00303320">
        <w:rPr>
          <w:rFonts w:ascii="Arial" w:hAnsi="Arial" w:cs="Arial"/>
        </w:rPr>
        <w:t xml:space="preserve"> directly or indirectly own</w:t>
      </w:r>
      <w:r>
        <w:rPr>
          <w:rFonts w:ascii="Arial" w:hAnsi="Arial" w:cs="Arial"/>
        </w:rPr>
        <w:t xml:space="preserve"> shares of the enterprise and </w:t>
      </w:r>
      <w:r w:rsidRPr="00303320">
        <w:rPr>
          <w:rFonts w:ascii="Arial" w:hAnsi="Arial" w:cs="Arial"/>
        </w:rPr>
        <w:t xml:space="preserve">with </w:t>
      </w:r>
      <w:r>
        <w:rPr>
          <w:rFonts w:ascii="Arial" w:hAnsi="Arial" w:cs="Arial"/>
        </w:rPr>
        <w:t>which</w:t>
      </w:r>
      <w:r w:rsidRPr="00303320">
        <w:rPr>
          <w:rFonts w:ascii="Arial" w:hAnsi="Arial" w:cs="Arial"/>
        </w:rPr>
        <w:t xml:space="preserve"> the enterprise has</w:t>
      </w:r>
      <w:r>
        <w:rPr>
          <w:rFonts w:ascii="Arial" w:hAnsi="Arial" w:cs="Arial"/>
        </w:rPr>
        <w:t xml:space="preserve"> entered into</w:t>
      </w:r>
      <w:r w:rsidRPr="00303320">
        <w:rPr>
          <w:rFonts w:ascii="Arial" w:hAnsi="Arial" w:cs="Arial"/>
        </w:rPr>
        <w:t xml:space="preserve"> transactions, as well as the name, nationality and country of residence of </w:t>
      </w:r>
      <w:r>
        <w:rPr>
          <w:rFonts w:ascii="Arial" w:hAnsi="Arial" w:cs="Arial"/>
        </w:rPr>
        <w:t>any</w:t>
      </w:r>
      <w:r w:rsidRPr="00303320">
        <w:rPr>
          <w:rFonts w:ascii="Arial" w:hAnsi="Arial" w:cs="Arial"/>
        </w:rPr>
        <w:t xml:space="preserve"> related </w:t>
      </w:r>
      <w:r>
        <w:rPr>
          <w:rFonts w:ascii="Arial" w:hAnsi="Arial" w:cs="Arial"/>
        </w:rPr>
        <w:t>party (individual)</w:t>
      </w:r>
      <w:r w:rsidRPr="00303320">
        <w:rPr>
          <w:rFonts w:ascii="Arial" w:hAnsi="Arial" w:cs="Arial"/>
        </w:rPr>
        <w:t>.</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11"/>
        </w:numPr>
        <w:spacing w:before="240" w:after="0" w:line="240" w:lineRule="auto"/>
        <w:ind w:left="1232" w:hanging="381"/>
        <w:jc w:val="both"/>
        <w:rPr>
          <w:rFonts w:ascii="Arial" w:hAnsi="Arial" w:cs="Arial"/>
        </w:rPr>
      </w:pPr>
      <w:r>
        <w:rPr>
          <w:rFonts w:ascii="Arial" w:hAnsi="Arial" w:cs="Arial"/>
        </w:rPr>
        <w:t>Information on taxes of income tax nature to which the enterprise is subject, with details including types of the taxes, tax rates and applicable preferential tax treatments.</w:t>
      </w:r>
      <w:r w:rsidRPr="00303320">
        <w:rPr>
          <w:rFonts w:ascii="Arial" w:hAnsi="Arial" w:cs="Arial"/>
        </w:rPr>
        <w:t xml:space="preserve">  </w:t>
      </w:r>
    </w:p>
    <w:p w:rsidR="005B19D8" w:rsidRPr="003911F0" w:rsidRDefault="005B19D8" w:rsidP="004132A5">
      <w:pPr>
        <w:pStyle w:val="ListParagraph"/>
        <w:rPr>
          <w:rFonts w:ascii="Arial" w:hAnsi="Arial" w:cs="Arial"/>
        </w:rPr>
      </w:pPr>
    </w:p>
    <w:p w:rsidR="005B19D8" w:rsidRDefault="005B19D8" w:rsidP="00EC42C0">
      <w:pPr>
        <w:pStyle w:val="ListParagraph"/>
        <w:numPr>
          <w:ilvl w:val="0"/>
          <w:numId w:val="11"/>
        </w:numPr>
        <w:spacing w:before="240" w:after="0" w:line="240" w:lineRule="auto"/>
        <w:ind w:left="1232" w:hanging="381"/>
        <w:jc w:val="both"/>
        <w:rPr>
          <w:rFonts w:ascii="Arial" w:hAnsi="Arial" w:cs="Arial"/>
        </w:rPr>
      </w:pPr>
      <w:r>
        <w:rPr>
          <w:rFonts w:ascii="Arial" w:hAnsi="Arial" w:cs="Arial"/>
        </w:rPr>
        <w:t xml:space="preserve">Information on </w:t>
      </w:r>
      <w:r w:rsidRPr="00303320">
        <w:rPr>
          <w:rFonts w:ascii="Arial" w:hAnsi="Arial" w:cs="Arial"/>
        </w:rPr>
        <w:t xml:space="preserve">changes </w:t>
      </w:r>
      <w:r>
        <w:rPr>
          <w:rFonts w:ascii="Arial" w:hAnsi="Arial" w:cs="Arial"/>
        </w:rPr>
        <w:t>in</w:t>
      </w:r>
      <w:r w:rsidRPr="00303320">
        <w:rPr>
          <w:rFonts w:ascii="Arial" w:hAnsi="Arial" w:cs="Arial"/>
        </w:rPr>
        <w:t xml:space="preserve"> </w:t>
      </w:r>
      <w:r>
        <w:rPr>
          <w:rFonts w:ascii="Arial" w:hAnsi="Arial" w:cs="Arial"/>
        </w:rPr>
        <w:t xml:space="preserve">related party </w:t>
      </w:r>
      <w:r w:rsidRPr="00303320">
        <w:rPr>
          <w:rFonts w:ascii="Arial" w:hAnsi="Arial" w:cs="Arial"/>
        </w:rPr>
        <w:t xml:space="preserve">relationship </w:t>
      </w:r>
      <w:r>
        <w:rPr>
          <w:rFonts w:ascii="Arial" w:hAnsi="Arial" w:cs="Arial"/>
        </w:rPr>
        <w:t xml:space="preserve">of the enterprise </w:t>
      </w:r>
      <w:r w:rsidRPr="00303320">
        <w:rPr>
          <w:rFonts w:ascii="Arial" w:hAnsi="Arial" w:cs="Arial"/>
        </w:rPr>
        <w:t xml:space="preserve">during the </w:t>
      </w:r>
      <w:r>
        <w:rPr>
          <w:rFonts w:ascii="Arial" w:hAnsi="Arial" w:cs="Arial"/>
        </w:rPr>
        <w:t>fiscal</w:t>
      </w:r>
      <w:r w:rsidRPr="00303320">
        <w:rPr>
          <w:rFonts w:ascii="Arial" w:hAnsi="Arial" w:cs="Arial"/>
        </w:rPr>
        <w:t xml:space="preserve"> year</w:t>
      </w:r>
      <w:r>
        <w:rPr>
          <w:rFonts w:ascii="Arial" w:hAnsi="Arial" w:cs="Arial"/>
        </w:rPr>
        <w:t xml:space="preserve"> concerned</w:t>
      </w:r>
      <w:r w:rsidRPr="00303320">
        <w:rPr>
          <w:rFonts w:ascii="Arial" w:hAnsi="Arial" w:cs="Arial"/>
        </w:rPr>
        <w:t>.</w:t>
      </w:r>
    </w:p>
    <w:p w:rsidR="005B19D8" w:rsidRPr="003911F0" w:rsidRDefault="005B19D8" w:rsidP="004132A5">
      <w:pPr>
        <w:pStyle w:val="ListParagraph"/>
        <w:rPr>
          <w:rFonts w:ascii="Arial" w:hAnsi="Arial" w:cs="Arial"/>
        </w:rPr>
      </w:pPr>
    </w:p>
    <w:p w:rsidR="005B19D8" w:rsidRPr="003911F0" w:rsidRDefault="005B19D8" w:rsidP="00EC42C0">
      <w:pPr>
        <w:pStyle w:val="ListParagraph"/>
        <w:numPr>
          <w:ilvl w:val="0"/>
          <w:numId w:val="19"/>
        </w:numPr>
        <w:spacing w:before="240" w:after="0" w:line="240" w:lineRule="auto"/>
        <w:ind w:left="851" w:hanging="491"/>
        <w:jc w:val="both"/>
        <w:rPr>
          <w:rFonts w:ascii="Arial" w:hAnsi="Arial" w:cs="Arial"/>
        </w:rPr>
      </w:pPr>
      <w:r>
        <w:rPr>
          <w:rFonts w:ascii="Arial" w:hAnsi="Arial" w:cs="Arial"/>
        </w:rPr>
        <w:t>Related party transactions</w:t>
      </w:r>
    </w:p>
    <w:p w:rsidR="005B19D8" w:rsidRPr="003911F0" w:rsidRDefault="005B19D8" w:rsidP="004132A5">
      <w:pPr>
        <w:pStyle w:val="ListParagraph"/>
        <w:rPr>
          <w:rFonts w:ascii="Arial" w:hAnsi="Arial" w:cs="Arial"/>
        </w:rPr>
      </w:pPr>
    </w:p>
    <w:p w:rsidR="005B19D8" w:rsidRDefault="005B19D8" w:rsidP="00EC42C0">
      <w:pPr>
        <w:pStyle w:val="ListParagraph"/>
        <w:numPr>
          <w:ilvl w:val="0"/>
          <w:numId w:val="22"/>
        </w:numPr>
        <w:spacing w:before="240" w:after="0" w:line="240" w:lineRule="auto"/>
        <w:ind w:left="1232" w:hanging="381"/>
        <w:jc w:val="both"/>
        <w:rPr>
          <w:rFonts w:ascii="Arial" w:hAnsi="Arial" w:cs="Arial"/>
        </w:rPr>
      </w:pPr>
      <w:r>
        <w:rPr>
          <w:rFonts w:ascii="Arial" w:hAnsi="Arial" w:cs="Arial"/>
        </w:rPr>
        <w:t>Overview of related party transactions</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23"/>
        </w:numPr>
        <w:spacing w:before="240" w:after="0" w:line="240" w:lineRule="auto"/>
        <w:jc w:val="both"/>
        <w:rPr>
          <w:rFonts w:ascii="Arial" w:hAnsi="Arial" w:cs="Arial"/>
        </w:rPr>
      </w:pPr>
      <w:r>
        <w:rPr>
          <w:rFonts w:ascii="Arial" w:hAnsi="Arial" w:cs="Arial"/>
        </w:rPr>
        <w:t xml:space="preserve">A description </w:t>
      </w:r>
      <w:r w:rsidRPr="007A359E">
        <w:rPr>
          <w:rFonts w:ascii="Arial" w:hAnsi="Arial" w:cs="Arial"/>
        </w:rPr>
        <w:t>of related party transactions</w:t>
      </w:r>
      <w:r>
        <w:rPr>
          <w:rFonts w:ascii="Arial" w:hAnsi="Arial" w:cs="Arial"/>
        </w:rPr>
        <w:t xml:space="preserve"> with details</w:t>
      </w:r>
      <w:r w:rsidRPr="007A359E">
        <w:rPr>
          <w:rFonts w:ascii="Arial" w:hAnsi="Arial" w:cs="Arial"/>
        </w:rPr>
        <w:t>, including copies of contracts or agreements relating to the related party transactions and</w:t>
      </w:r>
      <w:r>
        <w:rPr>
          <w:rFonts w:ascii="Arial" w:hAnsi="Arial" w:cs="Arial"/>
        </w:rPr>
        <w:t xml:space="preserve"> their execution</w:t>
      </w:r>
      <w:r w:rsidRPr="007A359E">
        <w:rPr>
          <w:rFonts w:ascii="Arial" w:hAnsi="Arial" w:cs="Arial"/>
        </w:rPr>
        <w:t xml:space="preserve">, </w:t>
      </w:r>
      <w:r>
        <w:rPr>
          <w:rFonts w:ascii="Arial" w:hAnsi="Arial" w:cs="Arial"/>
        </w:rPr>
        <w:t xml:space="preserve">characteristics of the underlying targets, </w:t>
      </w:r>
      <w:r w:rsidRPr="007A359E">
        <w:rPr>
          <w:rFonts w:ascii="Arial" w:hAnsi="Arial" w:cs="Arial"/>
        </w:rPr>
        <w:t>and</w:t>
      </w:r>
      <w:r>
        <w:rPr>
          <w:rFonts w:ascii="Arial" w:hAnsi="Arial" w:cs="Arial"/>
        </w:rPr>
        <w:t xml:space="preserve"> categories, parties involved, timing, transaction value, settlement currency, contractual terms and conditions, trading models of the related party transactions as well as an explanation of how they are similar to or different from that of unrelated party transactions</w:t>
      </w:r>
      <w:r w:rsidRPr="007A359E">
        <w:rPr>
          <w:rFonts w:ascii="Arial" w:hAnsi="Arial" w:cs="Arial"/>
        </w:rPr>
        <w:t>.</w:t>
      </w:r>
    </w:p>
    <w:p w:rsidR="005B19D8" w:rsidRPr="007A359E" w:rsidRDefault="005B19D8" w:rsidP="004132A5">
      <w:pPr>
        <w:pStyle w:val="ListParagraph"/>
        <w:spacing w:before="240" w:after="0" w:line="240" w:lineRule="auto"/>
        <w:ind w:left="1592"/>
        <w:jc w:val="both"/>
        <w:rPr>
          <w:rFonts w:ascii="Arial" w:hAnsi="Arial" w:cs="Arial"/>
        </w:rPr>
      </w:pPr>
    </w:p>
    <w:p w:rsidR="005B19D8" w:rsidRDefault="005B19D8" w:rsidP="00EC42C0">
      <w:pPr>
        <w:pStyle w:val="ListParagraph"/>
        <w:numPr>
          <w:ilvl w:val="0"/>
          <w:numId w:val="23"/>
        </w:numPr>
        <w:spacing w:before="240" w:after="0" w:line="240" w:lineRule="auto"/>
        <w:jc w:val="both"/>
        <w:rPr>
          <w:rFonts w:ascii="Arial" w:hAnsi="Arial" w:cs="Arial"/>
        </w:rPr>
      </w:pPr>
      <w:r w:rsidRPr="007A359E">
        <w:rPr>
          <w:rFonts w:ascii="Arial" w:hAnsi="Arial" w:cs="Arial"/>
        </w:rPr>
        <w:t>Transaction</w:t>
      </w:r>
      <w:r>
        <w:rPr>
          <w:rFonts w:ascii="Arial" w:hAnsi="Arial" w:cs="Arial"/>
        </w:rPr>
        <w:t>al</w:t>
      </w:r>
      <w:r w:rsidRPr="007A359E">
        <w:rPr>
          <w:rFonts w:ascii="Arial" w:hAnsi="Arial" w:cs="Arial"/>
        </w:rPr>
        <w:t xml:space="preserve"> flow of the related party transactions, including</w:t>
      </w:r>
      <w:r>
        <w:rPr>
          <w:rFonts w:ascii="Arial" w:hAnsi="Arial" w:cs="Arial"/>
        </w:rPr>
        <w:t xml:space="preserve"> the flows of information, goods and materials, and capitals</w:t>
      </w:r>
      <w:r w:rsidRPr="007A359E">
        <w:rPr>
          <w:rFonts w:ascii="Arial" w:hAnsi="Arial" w:cs="Arial"/>
        </w:rPr>
        <w:t xml:space="preserve">, as well as </w:t>
      </w:r>
      <w:r>
        <w:rPr>
          <w:rFonts w:ascii="Arial" w:hAnsi="Arial" w:cs="Arial"/>
        </w:rPr>
        <w:t>an explanation of how they are similar to or different from that of unrelated party transactions</w:t>
      </w:r>
      <w:r w:rsidRPr="007A359E">
        <w:rPr>
          <w:rFonts w:ascii="Arial" w:hAnsi="Arial" w:cs="Arial"/>
        </w:rPr>
        <w:t>.</w:t>
      </w:r>
    </w:p>
    <w:p w:rsidR="005B19D8" w:rsidRPr="007A359E" w:rsidRDefault="005B19D8" w:rsidP="004132A5">
      <w:pPr>
        <w:pStyle w:val="ListParagraph"/>
        <w:spacing w:before="240" w:after="0" w:line="240" w:lineRule="auto"/>
        <w:ind w:left="1592"/>
        <w:jc w:val="both"/>
        <w:rPr>
          <w:rFonts w:ascii="Arial" w:hAnsi="Arial" w:cs="Arial"/>
        </w:rPr>
      </w:pPr>
    </w:p>
    <w:p w:rsidR="005B19D8" w:rsidRPr="003911F0" w:rsidRDefault="005B19D8" w:rsidP="00EC42C0">
      <w:pPr>
        <w:pStyle w:val="ListParagraph"/>
        <w:numPr>
          <w:ilvl w:val="0"/>
          <w:numId w:val="23"/>
        </w:numPr>
        <w:spacing w:before="240" w:after="0" w:line="240" w:lineRule="auto"/>
        <w:jc w:val="both"/>
        <w:rPr>
          <w:rFonts w:ascii="Arial" w:hAnsi="Arial" w:cs="Arial"/>
        </w:rPr>
      </w:pPr>
      <w:r>
        <w:rPr>
          <w:rFonts w:ascii="Arial" w:hAnsi="Arial" w:cs="Arial"/>
        </w:rPr>
        <w:t>A d</w:t>
      </w:r>
      <w:r w:rsidRPr="007A359E">
        <w:rPr>
          <w:rFonts w:ascii="Arial" w:hAnsi="Arial" w:cs="Arial"/>
        </w:rPr>
        <w:t xml:space="preserve">escription of functions and risks, including the functions performed, risks </w:t>
      </w:r>
      <w:r>
        <w:rPr>
          <w:rFonts w:ascii="Arial" w:hAnsi="Arial" w:cs="Arial"/>
        </w:rPr>
        <w:t>assumed and</w:t>
      </w:r>
      <w:r w:rsidRPr="007A359E">
        <w:rPr>
          <w:rFonts w:ascii="Arial" w:hAnsi="Arial" w:cs="Arial"/>
        </w:rPr>
        <w:t xml:space="preserve"> assets </w:t>
      </w:r>
      <w:r>
        <w:rPr>
          <w:rFonts w:ascii="Arial" w:hAnsi="Arial" w:cs="Arial"/>
        </w:rPr>
        <w:t xml:space="preserve">used </w:t>
      </w:r>
      <w:r w:rsidRPr="007A359E">
        <w:rPr>
          <w:rFonts w:ascii="Arial" w:hAnsi="Arial" w:cs="Arial"/>
        </w:rPr>
        <w:t xml:space="preserve">by the enterprise and its related parties </w:t>
      </w:r>
      <w:r>
        <w:rPr>
          <w:rFonts w:ascii="Arial" w:hAnsi="Arial" w:cs="Arial"/>
        </w:rPr>
        <w:t xml:space="preserve">for each category </w:t>
      </w:r>
      <w:r w:rsidRPr="007A359E">
        <w:rPr>
          <w:rFonts w:ascii="Arial" w:hAnsi="Arial" w:cs="Arial"/>
        </w:rPr>
        <w:t>of related party transactions.</w:t>
      </w:r>
    </w:p>
    <w:p w:rsidR="005B19D8" w:rsidRPr="003911F0" w:rsidRDefault="005B19D8" w:rsidP="004132A5">
      <w:pPr>
        <w:pStyle w:val="ListParagraph"/>
        <w:spacing w:before="240" w:after="0" w:line="240" w:lineRule="auto"/>
        <w:ind w:left="1592"/>
        <w:jc w:val="both"/>
        <w:rPr>
          <w:rFonts w:ascii="Arial" w:hAnsi="Arial" w:cs="Arial"/>
        </w:rPr>
      </w:pPr>
    </w:p>
    <w:p w:rsidR="005B19D8" w:rsidRPr="003911F0" w:rsidRDefault="005B19D8" w:rsidP="00EC42C0">
      <w:pPr>
        <w:pStyle w:val="ListParagraph"/>
        <w:numPr>
          <w:ilvl w:val="0"/>
          <w:numId w:val="23"/>
        </w:numPr>
        <w:spacing w:before="240" w:after="0" w:line="240" w:lineRule="auto"/>
        <w:jc w:val="both"/>
        <w:rPr>
          <w:rFonts w:ascii="Arial" w:hAnsi="Arial" w:cs="Arial"/>
        </w:rPr>
      </w:pPr>
      <w:r w:rsidRPr="007A359E">
        <w:rPr>
          <w:rFonts w:ascii="Arial" w:hAnsi="Arial" w:cs="Arial"/>
        </w:rPr>
        <w:t xml:space="preserve">Key factors affecting </w:t>
      </w:r>
      <w:r>
        <w:rPr>
          <w:rFonts w:ascii="Arial" w:hAnsi="Arial" w:cs="Arial"/>
        </w:rPr>
        <w:t xml:space="preserve">the </w:t>
      </w:r>
      <w:r w:rsidRPr="007A359E">
        <w:rPr>
          <w:rFonts w:ascii="Arial" w:hAnsi="Arial" w:cs="Arial"/>
        </w:rPr>
        <w:t xml:space="preserve">pricing of </w:t>
      </w:r>
      <w:r>
        <w:rPr>
          <w:rFonts w:ascii="Arial" w:hAnsi="Arial" w:cs="Arial"/>
        </w:rPr>
        <w:t xml:space="preserve">related party </w:t>
      </w:r>
      <w:r w:rsidRPr="007A359E">
        <w:rPr>
          <w:rFonts w:ascii="Arial" w:hAnsi="Arial" w:cs="Arial"/>
        </w:rPr>
        <w:t xml:space="preserve">transactions, including intangibles involved in the transactions and their impact on pricing, as well as </w:t>
      </w:r>
      <w:r>
        <w:rPr>
          <w:rFonts w:ascii="Arial" w:hAnsi="Arial" w:cs="Arial"/>
        </w:rPr>
        <w:t>location specific factors such as cost savings and market premium etc</w:t>
      </w:r>
      <w:r w:rsidRPr="007A359E">
        <w:rPr>
          <w:rFonts w:ascii="Arial" w:hAnsi="Arial" w:cs="Arial"/>
        </w:rPr>
        <w:t>.</w:t>
      </w:r>
      <w:r>
        <w:rPr>
          <w:rFonts w:ascii="Arial" w:hAnsi="Arial" w:cs="Arial"/>
        </w:rPr>
        <w:t xml:space="preserve"> </w:t>
      </w:r>
      <w:r w:rsidRPr="007A359E">
        <w:rPr>
          <w:rFonts w:ascii="Arial" w:hAnsi="Arial" w:cs="Arial"/>
        </w:rPr>
        <w:t xml:space="preserve"> </w:t>
      </w:r>
      <w:r>
        <w:rPr>
          <w:rFonts w:ascii="Arial" w:hAnsi="Arial" w:cs="Arial"/>
        </w:rPr>
        <w:t xml:space="preserve">Analysis on location specific factors shall </w:t>
      </w:r>
      <w:r>
        <w:rPr>
          <w:rFonts w:ascii="Arial" w:hAnsi="Arial" w:cs="Arial"/>
        </w:rPr>
        <w:lastRenderedPageBreak/>
        <w:t>focus on aspects such as l</w:t>
      </w:r>
      <w:r w:rsidRPr="00FB5E76">
        <w:rPr>
          <w:rFonts w:ascii="Arial" w:hAnsi="Arial" w:cs="Arial"/>
        </w:rPr>
        <w:t xml:space="preserve">abour costs, environmental costs, market size, </w:t>
      </w:r>
      <w:r>
        <w:rPr>
          <w:rFonts w:ascii="Arial" w:hAnsi="Arial" w:cs="Arial"/>
        </w:rPr>
        <w:t xml:space="preserve">degree of </w:t>
      </w:r>
      <w:r w:rsidRPr="00FB5E76">
        <w:rPr>
          <w:rFonts w:ascii="Arial" w:hAnsi="Arial" w:cs="Arial"/>
        </w:rPr>
        <w:t xml:space="preserve">market competition, consumer purchasing power, substitutability of goods or services, and </w:t>
      </w:r>
      <w:r>
        <w:rPr>
          <w:rFonts w:ascii="Arial" w:hAnsi="Arial" w:cs="Arial"/>
        </w:rPr>
        <w:t>regulatory</w:t>
      </w:r>
      <w:r w:rsidRPr="00FB5E76">
        <w:rPr>
          <w:rFonts w:ascii="Arial" w:hAnsi="Arial" w:cs="Arial"/>
        </w:rPr>
        <w:t xml:space="preserve"> control</w:t>
      </w:r>
      <w:r>
        <w:rPr>
          <w:rFonts w:ascii="Arial" w:hAnsi="Arial" w:cs="Arial"/>
        </w:rPr>
        <w:t xml:space="preserve">s, etc. </w:t>
      </w:r>
    </w:p>
    <w:p w:rsidR="005B19D8" w:rsidRPr="007A359E" w:rsidRDefault="005B19D8" w:rsidP="004132A5">
      <w:pPr>
        <w:pStyle w:val="ListParagraph"/>
        <w:spacing w:before="240" w:after="0" w:line="240" w:lineRule="auto"/>
        <w:ind w:left="1592"/>
        <w:jc w:val="both"/>
        <w:rPr>
          <w:rFonts w:ascii="Arial" w:hAnsi="Arial" w:cs="Arial"/>
        </w:rPr>
      </w:pPr>
    </w:p>
    <w:p w:rsidR="005B19D8" w:rsidRPr="00124E04" w:rsidRDefault="005B19D8" w:rsidP="00EC42C0">
      <w:pPr>
        <w:pStyle w:val="ListParagraph"/>
        <w:numPr>
          <w:ilvl w:val="0"/>
          <w:numId w:val="23"/>
        </w:numPr>
        <w:spacing w:before="240" w:after="0" w:line="240" w:lineRule="auto"/>
        <w:jc w:val="both"/>
        <w:rPr>
          <w:rFonts w:ascii="Arial" w:hAnsi="Arial" w:cs="Arial"/>
        </w:rPr>
      </w:pPr>
      <w:r w:rsidRPr="007A359E">
        <w:rPr>
          <w:rFonts w:ascii="Arial" w:hAnsi="Arial" w:cs="Arial"/>
        </w:rPr>
        <w:t xml:space="preserve">Financial information </w:t>
      </w:r>
      <w:r>
        <w:rPr>
          <w:rFonts w:ascii="Arial" w:hAnsi="Arial" w:cs="Arial"/>
        </w:rPr>
        <w:t>on</w:t>
      </w:r>
      <w:r w:rsidRPr="007A359E">
        <w:rPr>
          <w:rFonts w:ascii="Arial" w:hAnsi="Arial" w:cs="Arial"/>
        </w:rPr>
        <w:t xml:space="preserve"> related party transactions, including the amount </w:t>
      </w:r>
      <w:r>
        <w:rPr>
          <w:rFonts w:ascii="Arial" w:hAnsi="Arial" w:cs="Arial"/>
        </w:rPr>
        <w:t>involved</w:t>
      </w:r>
      <w:r w:rsidRPr="007A359E">
        <w:rPr>
          <w:rFonts w:ascii="Arial" w:hAnsi="Arial" w:cs="Arial"/>
        </w:rPr>
        <w:t xml:space="preserve"> for each </w:t>
      </w:r>
      <w:r>
        <w:rPr>
          <w:rFonts w:ascii="Arial" w:hAnsi="Arial" w:cs="Arial"/>
        </w:rPr>
        <w:t>related party and each category</w:t>
      </w:r>
      <w:r w:rsidRPr="007A359E">
        <w:rPr>
          <w:rFonts w:ascii="Arial" w:hAnsi="Arial" w:cs="Arial"/>
        </w:rPr>
        <w:t xml:space="preserve"> of related party transactions; segment</w:t>
      </w:r>
      <w:r>
        <w:rPr>
          <w:rFonts w:ascii="Arial" w:hAnsi="Arial" w:cs="Arial"/>
        </w:rPr>
        <w:t>ed data on turnover</w:t>
      </w:r>
      <w:r w:rsidRPr="007A359E">
        <w:rPr>
          <w:rFonts w:ascii="Arial" w:hAnsi="Arial" w:cs="Arial"/>
        </w:rPr>
        <w:t>, cost</w:t>
      </w:r>
      <w:r>
        <w:rPr>
          <w:rFonts w:ascii="Arial" w:hAnsi="Arial" w:cs="Arial"/>
        </w:rPr>
        <w:t>s</w:t>
      </w:r>
      <w:r w:rsidRPr="007A359E">
        <w:rPr>
          <w:rFonts w:ascii="Arial" w:hAnsi="Arial" w:cs="Arial"/>
        </w:rPr>
        <w:t>, expense</w:t>
      </w:r>
      <w:r>
        <w:rPr>
          <w:rFonts w:ascii="Arial" w:hAnsi="Arial" w:cs="Arial"/>
        </w:rPr>
        <w:t>s</w:t>
      </w:r>
      <w:r w:rsidRPr="007A359E">
        <w:rPr>
          <w:rFonts w:ascii="Arial" w:hAnsi="Arial" w:cs="Arial"/>
        </w:rPr>
        <w:t xml:space="preserve"> and profit</w:t>
      </w:r>
      <w:r>
        <w:rPr>
          <w:rFonts w:ascii="Arial" w:hAnsi="Arial" w:cs="Arial"/>
        </w:rPr>
        <w:t>s</w:t>
      </w:r>
      <w:r w:rsidRPr="007A359E">
        <w:rPr>
          <w:rFonts w:ascii="Arial" w:hAnsi="Arial" w:cs="Arial"/>
        </w:rPr>
        <w:t xml:space="preserve"> </w:t>
      </w:r>
      <w:r>
        <w:rPr>
          <w:rFonts w:ascii="Arial" w:hAnsi="Arial" w:cs="Arial"/>
        </w:rPr>
        <w:t>of</w:t>
      </w:r>
      <w:r w:rsidRPr="007A359E">
        <w:rPr>
          <w:rFonts w:ascii="Arial" w:hAnsi="Arial" w:cs="Arial"/>
        </w:rPr>
        <w:t xml:space="preserve"> related party transactions and </w:t>
      </w:r>
      <w:r>
        <w:rPr>
          <w:rFonts w:ascii="Arial" w:hAnsi="Arial" w:cs="Arial"/>
        </w:rPr>
        <w:t>unrelated</w:t>
      </w:r>
      <w:r w:rsidRPr="007A359E">
        <w:rPr>
          <w:rFonts w:ascii="Arial" w:hAnsi="Arial" w:cs="Arial"/>
        </w:rPr>
        <w:t xml:space="preserve"> party transactions</w:t>
      </w:r>
      <w:r>
        <w:rPr>
          <w:rFonts w:ascii="Arial" w:hAnsi="Arial" w:cs="Arial"/>
        </w:rPr>
        <w:t xml:space="preserve">; </w:t>
      </w:r>
      <w:r w:rsidRPr="007A359E">
        <w:rPr>
          <w:rFonts w:ascii="Arial" w:hAnsi="Arial" w:cs="Arial"/>
        </w:rPr>
        <w:t xml:space="preserve">for items </w:t>
      </w:r>
      <w:r>
        <w:rPr>
          <w:rFonts w:ascii="Arial" w:hAnsi="Arial" w:cs="Arial"/>
        </w:rPr>
        <w:t>that</w:t>
      </w:r>
      <w:r w:rsidRPr="007A359E">
        <w:rPr>
          <w:rFonts w:ascii="Arial" w:hAnsi="Arial" w:cs="Arial"/>
        </w:rPr>
        <w:t xml:space="preserve"> c</w:t>
      </w:r>
      <w:r>
        <w:rPr>
          <w:rFonts w:ascii="Arial" w:hAnsi="Arial" w:cs="Arial"/>
        </w:rPr>
        <w:t>ould not</w:t>
      </w:r>
      <w:r w:rsidRPr="007A359E">
        <w:rPr>
          <w:rFonts w:ascii="Arial" w:hAnsi="Arial" w:cs="Arial"/>
        </w:rPr>
        <w:t xml:space="preserve"> be directly segmented</w:t>
      </w:r>
      <w:r>
        <w:rPr>
          <w:rFonts w:ascii="Arial" w:hAnsi="Arial" w:cs="Arial"/>
        </w:rPr>
        <w:t xml:space="preserve"> and therefore have been</w:t>
      </w:r>
      <w:r w:rsidRPr="00DA1F8B">
        <w:rPr>
          <w:rFonts w:ascii="Arial" w:hAnsi="Arial" w:cs="Arial"/>
        </w:rPr>
        <w:t xml:space="preserve"> </w:t>
      </w:r>
      <w:r w:rsidRPr="00124E04">
        <w:rPr>
          <w:rFonts w:ascii="Arial" w:hAnsi="Arial" w:cs="Arial"/>
        </w:rPr>
        <w:t>allocate</w:t>
      </w:r>
      <w:r w:rsidRPr="00DA1F8B">
        <w:rPr>
          <w:rFonts w:ascii="Arial" w:hAnsi="Arial" w:cs="Arial"/>
        </w:rPr>
        <w:t>d</w:t>
      </w:r>
      <w:r w:rsidRPr="00124E04">
        <w:rPr>
          <w:rFonts w:ascii="Arial" w:hAnsi="Arial" w:cs="Arial"/>
        </w:rPr>
        <w:t xml:space="preserve"> </w:t>
      </w:r>
      <w:r w:rsidRPr="00DA1F8B">
        <w:rPr>
          <w:rFonts w:ascii="Arial" w:hAnsi="Arial" w:cs="Arial"/>
        </w:rPr>
        <w:t>using appropriate allocation keys</w:t>
      </w:r>
      <w:r>
        <w:rPr>
          <w:rFonts w:ascii="Arial" w:hAnsi="Arial" w:cs="Arial"/>
        </w:rPr>
        <w:t>, information on how they are allocated and an explanation of how the allocation keys have been selected</w:t>
      </w:r>
      <w:r w:rsidRPr="00124E04">
        <w:rPr>
          <w:rFonts w:ascii="Arial" w:hAnsi="Arial" w:cs="Arial"/>
        </w:rPr>
        <w:t>.</w:t>
      </w:r>
    </w:p>
    <w:p w:rsidR="005B19D8" w:rsidRPr="003911F0" w:rsidRDefault="005B19D8" w:rsidP="004132A5">
      <w:pPr>
        <w:pStyle w:val="ListParagraph"/>
        <w:rPr>
          <w:rFonts w:ascii="Arial" w:hAnsi="Arial" w:cs="Arial"/>
        </w:rPr>
      </w:pPr>
    </w:p>
    <w:p w:rsidR="005B19D8" w:rsidRDefault="005B19D8" w:rsidP="004132A5">
      <w:pPr>
        <w:pStyle w:val="ListParagraph"/>
        <w:spacing w:before="240" w:after="0" w:line="240" w:lineRule="auto"/>
        <w:ind w:left="1592"/>
        <w:jc w:val="both"/>
        <w:rPr>
          <w:rFonts w:ascii="Arial" w:hAnsi="Arial" w:cs="Arial"/>
        </w:rPr>
      </w:pPr>
    </w:p>
    <w:p w:rsidR="005B19D8" w:rsidRDefault="005B19D8" w:rsidP="00EC42C0">
      <w:pPr>
        <w:pStyle w:val="ListParagraph"/>
        <w:numPr>
          <w:ilvl w:val="0"/>
          <w:numId w:val="22"/>
        </w:numPr>
        <w:spacing w:before="240" w:after="0" w:line="240" w:lineRule="auto"/>
        <w:ind w:left="1232" w:hanging="381"/>
        <w:jc w:val="both"/>
        <w:rPr>
          <w:rFonts w:ascii="Arial" w:hAnsi="Arial" w:cs="Arial"/>
        </w:rPr>
      </w:pPr>
      <w:r>
        <w:rPr>
          <w:rFonts w:ascii="Arial" w:hAnsi="Arial" w:cs="Arial"/>
        </w:rPr>
        <w:t>Value chain analysis</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24"/>
        </w:numPr>
        <w:spacing w:before="240" w:after="0" w:line="240" w:lineRule="auto"/>
        <w:jc w:val="both"/>
        <w:rPr>
          <w:rFonts w:ascii="Arial" w:hAnsi="Arial" w:cs="Arial"/>
        </w:rPr>
      </w:pPr>
      <w:r>
        <w:rPr>
          <w:rFonts w:ascii="Arial" w:hAnsi="Arial" w:cs="Arial"/>
        </w:rPr>
        <w:t>Flows of business, goods and materials, and capitals within the group,</w:t>
      </w:r>
      <w:r w:rsidRPr="00E4501A">
        <w:rPr>
          <w:rFonts w:ascii="Arial" w:hAnsi="Arial" w:cs="Arial"/>
        </w:rPr>
        <w:t xml:space="preserve"> including design, development, manufacturing, marketing, </w:t>
      </w:r>
      <w:r>
        <w:rPr>
          <w:rFonts w:ascii="Arial" w:hAnsi="Arial" w:cs="Arial"/>
        </w:rPr>
        <w:t xml:space="preserve">sales, </w:t>
      </w:r>
      <w:r w:rsidRPr="00E4501A">
        <w:rPr>
          <w:rFonts w:ascii="Arial" w:hAnsi="Arial" w:cs="Arial"/>
        </w:rPr>
        <w:t>delivery, billing</w:t>
      </w:r>
      <w:r>
        <w:rPr>
          <w:rFonts w:ascii="Arial" w:hAnsi="Arial" w:cs="Arial"/>
        </w:rPr>
        <w:t xml:space="preserve"> and payment</w:t>
      </w:r>
      <w:r w:rsidRPr="00E4501A">
        <w:rPr>
          <w:rFonts w:ascii="Arial" w:hAnsi="Arial" w:cs="Arial"/>
        </w:rPr>
        <w:t xml:space="preserve">, </w:t>
      </w:r>
      <w:r>
        <w:rPr>
          <w:rFonts w:ascii="Arial" w:hAnsi="Arial" w:cs="Arial"/>
        </w:rPr>
        <w:t>consumption</w:t>
      </w:r>
      <w:r w:rsidRPr="00E4501A">
        <w:rPr>
          <w:rFonts w:ascii="Arial" w:hAnsi="Arial" w:cs="Arial"/>
        </w:rPr>
        <w:t>, after</w:t>
      </w:r>
      <w:r>
        <w:rPr>
          <w:rFonts w:ascii="Arial" w:hAnsi="Arial" w:cs="Arial"/>
        </w:rPr>
        <w:t>-</w:t>
      </w:r>
      <w:r w:rsidRPr="00E4501A">
        <w:rPr>
          <w:rFonts w:ascii="Arial" w:hAnsi="Arial" w:cs="Arial"/>
        </w:rPr>
        <w:t xml:space="preserve">sale service, recycling, </w:t>
      </w:r>
      <w:r>
        <w:rPr>
          <w:rFonts w:ascii="Arial" w:hAnsi="Arial" w:cs="Arial"/>
        </w:rPr>
        <w:t>other processes related to goods, services or other relevant underlying targets of the related party transactions and all the parties involved</w:t>
      </w:r>
      <w:r w:rsidRPr="00E4501A">
        <w:rPr>
          <w:rFonts w:ascii="Arial" w:hAnsi="Arial" w:cs="Arial"/>
        </w:rPr>
        <w:t xml:space="preserve">. </w:t>
      </w:r>
    </w:p>
    <w:p w:rsidR="005B19D8" w:rsidRPr="00E4501A" w:rsidRDefault="005B19D8" w:rsidP="004132A5">
      <w:pPr>
        <w:pStyle w:val="ListParagraph"/>
        <w:spacing w:before="240" w:after="0" w:line="240" w:lineRule="auto"/>
        <w:ind w:left="1592"/>
        <w:jc w:val="both"/>
        <w:rPr>
          <w:rFonts w:ascii="Arial" w:hAnsi="Arial" w:cs="Arial"/>
        </w:rPr>
      </w:pPr>
    </w:p>
    <w:p w:rsidR="005B19D8" w:rsidRPr="003911F0" w:rsidRDefault="005B19D8" w:rsidP="00EC42C0">
      <w:pPr>
        <w:pStyle w:val="ListParagraph"/>
        <w:numPr>
          <w:ilvl w:val="0"/>
          <w:numId w:val="24"/>
        </w:numPr>
        <w:spacing w:before="240" w:after="0" w:line="240" w:lineRule="auto"/>
        <w:jc w:val="both"/>
        <w:rPr>
          <w:rFonts w:ascii="Arial" w:hAnsi="Arial" w:cs="Arial"/>
        </w:rPr>
      </w:pPr>
      <w:r>
        <w:rPr>
          <w:rFonts w:ascii="Arial" w:hAnsi="Arial" w:cs="Arial"/>
        </w:rPr>
        <w:t>Annual financial statements of each of the aforementioned parties</w:t>
      </w:r>
      <w:r w:rsidRPr="00EC5E24">
        <w:rPr>
          <w:rFonts w:ascii="Arial" w:hAnsi="Arial" w:cs="Arial"/>
        </w:rPr>
        <w:t xml:space="preserve"> </w:t>
      </w:r>
      <w:r>
        <w:rPr>
          <w:rFonts w:ascii="Arial" w:hAnsi="Arial" w:cs="Arial"/>
        </w:rPr>
        <w:t>for the immediately preceding fiscal year</w:t>
      </w:r>
      <w:r w:rsidRPr="00E4501A">
        <w:rPr>
          <w:rFonts w:ascii="Arial" w:hAnsi="Arial" w:cs="Arial"/>
        </w:rPr>
        <w:t xml:space="preserve">. </w:t>
      </w:r>
    </w:p>
    <w:p w:rsidR="005B19D8" w:rsidRPr="00E4501A" w:rsidRDefault="005B19D8" w:rsidP="004132A5">
      <w:pPr>
        <w:pStyle w:val="ListParagraph"/>
        <w:spacing w:before="240" w:after="0" w:line="240" w:lineRule="auto"/>
        <w:ind w:left="1592"/>
        <w:jc w:val="both"/>
        <w:rPr>
          <w:rFonts w:ascii="Arial" w:hAnsi="Arial" w:cs="Arial"/>
        </w:rPr>
      </w:pPr>
    </w:p>
    <w:p w:rsidR="005B19D8" w:rsidRDefault="005B19D8" w:rsidP="00EC42C0">
      <w:pPr>
        <w:pStyle w:val="ListParagraph"/>
        <w:numPr>
          <w:ilvl w:val="0"/>
          <w:numId w:val="24"/>
        </w:numPr>
        <w:spacing w:before="240" w:after="0" w:line="240" w:lineRule="auto"/>
        <w:jc w:val="both"/>
        <w:rPr>
          <w:rFonts w:ascii="Arial" w:hAnsi="Arial" w:cs="Arial"/>
        </w:rPr>
      </w:pPr>
      <w:r>
        <w:rPr>
          <w:rFonts w:ascii="Arial" w:hAnsi="Arial" w:cs="Arial"/>
        </w:rPr>
        <w:t>Measurement and attribution of value creation contributed by location specific factors.</w:t>
      </w:r>
    </w:p>
    <w:p w:rsidR="005B19D8" w:rsidRPr="003911F0" w:rsidRDefault="005B19D8" w:rsidP="004132A5">
      <w:pPr>
        <w:pStyle w:val="ListParagraph"/>
        <w:ind w:left="1592"/>
        <w:rPr>
          <w:rFonts w:ascii="Arial" w:hAnsi="Arial" w:cs="Arial"/>
        </w:rPr>
      </w:pPr>
    </w:p>
    <w:p w:rsidR="005B19D8" w:rsidRDefault="005B19D8" w:rsidP="00EC42C0">
      <w:pPr>
        <w:pStyle w:val="ListParagraph"/>
        <w:numPr>
          <w:ilvl w:val="0"/>
          <w:numId w:val="24"/>
        </w:numPr>
        <w:spacing w:before="240" w:after="0" w:line="240" w:lineRule="auto"/>
        <w:jc w:val="both"/>
        <w:rPr>
          <w:rFonts w:ascii="Arial" w:hAnsi="Arial" w:cs="Arial"/>
        </w:rPr>
      </w:pPr>
      <w:r w:rsidRPr="00E4501A">
        <w:rPr>
          <w:rFonts w:ascii="Arial" w:hAnsi="Arial" w:cs="Arial"/>
        </w:rPr>
        <w:t xml:space="preserve">Allocation </w:t>
      </w:r>
      <w:r>
        <w:rPr>
          <w:rFonts w:ascii="Arial" w:hAnsi="Arial" w:cs="Arial"/>
        </w:rPr>
        <w:t>policies</w:t>
      </w:r>
      <w:r w:rsidRPr="00E4501A">
        <w:rPr>
          <w:rFonts w:ascii="Arial" w:hAnsi="Arial" w:cs="Arial"/>
        </w:rPr>
        <w:t xml:space="preserve"> and </w:t>
      </w:r>
      <w:r>
        <w:rPr>
          <w:rFonts w:ascii="Arial" w:hAnsi="Arial" w:cs="Arial"/>
        </w:rPr>
        <w:t xml:space="preserve">actual </w:t>
      </w:r>
      <w:r w:rsidRPr="00E4501A">
        <w:rPr>
          <w:rFonts w:ascii="Arial" w:hAnsi="Arial" w:cs="Arial"/>
        </w:rPr>
        <w:t>allocation result</w:t>
      </w:r>
      <w:r>
        <w:rPr>
          <w:rFonts w:ascii="Arial" w:hAnsi="Arial" w:cs="Arial"/>
        </w:rPr>
        <w:t>s</w:t>
      </w:r>
      <w:r w:rsidRPr="00E4501A">
        <w:rPr>
          <w:rFonts w:ascii="Arial" w:hAnsi="Arial" w:cs="Arial"/>
        </w:rPr>
        <w:t xml:space="preserve"> of the </w:t>
      </w:r>
      <w:r>
        <w:rPr>
          <w:rFonts w:ascii="Arial" w:hAnsi="Arial" w:cs="Arial"/>
        </w:rPr>
        <w:t>group’s profits</w:t>
      </w:r>
      <w:r w:rsidRPr="00E4501A">
        <w:rPr>
          <w:rFonts w:ascii="Arial" w:hAnsi="Arial" w:cs="Arial"/>
        </w:rPr>
        <w:t xml:space="preserve"> </w:t>
      </w:r>
      <w:r>
        <w:rPr>
          <w:rFonts w:ascii="Arial" w:hAnsi="Arial" w:cs="Arial"/>
        </w:rPr>
        <w:t>in</w:t>
      </w:r>
      <w:r w:rsidRPr="00E4501A">
        <w:rPr>
          <w:rFonts w:ascii="Arial" w:hAnsi="Arial" w:cs="Arial"/>
        </w:rPr>
        <w:t xml:space="preserve"> the global value chain.</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22"/>
        </w:numPr>
        <w:spacing w:before="240" w:after="0" w:line="240" w:lineRule="auto"/>
        <w:ind w:left="1232" w:hanging="381"/>
        <w:jc w:val="both"/>
        <w:rPr>
          <w:rFonts w:ascii="Arial" w:hAnsi="Arial" w:cs="Arial"/>
        </w:rPr>
      </w:pPr>
      <w:r>
        <w:rPr>
          <w:rFonts w:ascii="Arial" w:hAnsi="Arial" w:cs="Arial"/>
        </w:rPr>
        <w:t>Outbound investment</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25"/>
        </w:numPr>
        <w:spacing w:before="240" w:after="0" w:line="240" w:lineRule="auto"/>
        <w:jc w:val="both"/>
        <w:rPr>
          <w:rFonts w:ascii="Arial" w:hAnsi="Arial" w:cs="Arial"/>
        </w:rPr>
      </w:pPr>
      <w:r>
        <w:rPr>
          <w:rFonts w:ascii="Arial" w:hAnsi="Arial" w:cs="Arial"/>
        </w:rPr>
        <w:t>I</w:t>
      </w:r>
      <w:r w:rsidRPr="00BF5370">
        <w:rPr>
          <w:rFonts w:ascii="Arial" w:hAnsi="Arial" w:cs="Arial"/>
        </w:rPr>
        <w:t xml:space="preserve">nformation </w:t>
      </w:r>
      <w:r>
        <w:rPr>
          <w:rFonts w:ascii="Arial" w:hAnsi="Arial" w:cs="Arial"/>
        </w:rPr>
        <w:t xml:space="preserve">on outbound </w:t>
      </w:r>
      <w:r w:rsidRPr="00BF5370">
        <w:rPr>
          <w:rFonts w:ascii="Arial" w:hAnsi="Arial" w:cs="Arial"/>
        </w:rPr>
        <w:t xml:space="preserve">investment, including the </w:t>
      </w:r>
      <w:r>
        <w:rPr>
          <w:rFonts w:ascii="Arial" w:hAnsi="Arial" w:cs="Arial"/>
        </w:rPr>
        <w:t>locations</w:t>
      </w:r>
      <w:r w:rsidRPr="00BF5370">
        <w:rPr>
          <w:rFonts w:ascii="Arial" w:hAnsi="Arial" w:cs="Arial"/>
        </w:rPr>
        <w:t>, amount</w:t>
      </w:r>
      <w:r>
        <w:rPr>
          <w:rFonts w:ascii="Arial" w:hAnsi="Arial" w:cs="Arial"/>
        </w:rPr>
        <w:t>s</w:t>
      </w:r>
      <w:r w:rsidRPr="00BF5370">
        <w:rPr>
          <w:rFonts w:ascii="Arial" w:hAnsi="Arial" w:cs="Arial"/>
        </w:rPr>
        <w:t xml:space="preserve">, </w:t>
      </w:r>
      <w:r>
        <w:rPr>
          <w:rFonts w:ascii="Arial" w:hAnsi="Arial" w:cs="Arial"/>
        </w:rPr>
        <w:t>main businesses</w:t>
      </w:r>
      <w:r w:rsidRPr="00BF5370">
        <w:rPr>
          <w:rFonts w:ascii="Arial" w:hAnsi="Arial" w:cs="Arial"/>
        </w:rPr>
        <w:t xml:space="preserve"> and strategic plans</w:t>
      </w:r>
      <w:r>
        <w:rPr>
          <w:rFonts w:ascii="Arial" w:hAnsi="Arial" w:cs="Arial"/>
        </w:rPr>
        <w:t xml:space="preserve"> of the investment projects</w:t>
      </w:r>
      <w:r w:rsidRPr="00BF5370">
        <w:rPr>
          <w:rFonts w:ascii="Arial" w:hAnsi="Arial" w:cs="Arial"/>
        </w:rPr>
        <w:t xml:space="preserve">. </w:t>
      </w:r>
    </w:p>
    <w:p w:rsidR="005B19D8" w:rsidRPr="00BF5370" w:rsidRDefault="005B19D8" w:rsidP="004132A5">
      <w:pPr>
        <w:pStyle w:val="ListParagraph"/>
        <w:spacing w:before="240" w:after="0" w:line="240" w:lineRule="auto"/>
        <w:ind w:left="1592"/>
        <w:jc w:val="both"/>
        <w:rPr>
          <w:rFonts w:ascii="Arial" w:hAnsi="Arial" w:cs="Arial"/>
        </w:rPr>
      </w:pPr>
    </w:p>
    <w:p w:rsidR="005B19D8" w:rsidRPr="003911F0" w:rsidRDefault="005B19D8" w:rsidP="00EC42C0">
      <w:pPr>
        <w:pStyle w:val="ListParagraph"/>
        <w:numPr>
          <w:ilvl w:val="0"/>
          <w:numId w:val="25"/>
        </w:numPr>
        <w:spacing w:before="240" w:after="0" w:line="240" w:lineRule="auto"/>
        <w:jc w:val="both"/>
        <w:rPr>
          <w:rFonts w:ascii="Arial" w:hAnsi="Arial" w:cs="Arial"/>
        </w:rPr>
      </w:pPr>
      <w:r>
        <w:rPr>
          <w:rFonts w:ascii="Arial" w:hAnsi="Arial" w:cs="Arial"/>
        </w:rPr>
        <w:lastRenderedPageBreak/>
        <w:t>An overview</w:t>
      </w:r>
      <w:r w:rsidRPr="00BF5370">
        <w:rPr>
          <w:rFonts w:ascii="Arial" w:hAnsi="Arial" w:cs="Arial"/>
        </w:rPr>
        <w:t xml:space="preserve"> of </w:t>
      </w:r>
      <w:r>
        <w:rPr>
          <w:rFonts w:ascii="Arial" w:hAnsi="Arial" w:cs="Arial"/>
        </w:rPr>
        <w:t>outbound</w:t>
      </w:r>
      <w:r w:rsidRPr="00BF5370">
        <w:rPr>
          <w:rFonts w:ascii="Arial" w:hAnsi="Arial" w:cs="Arial"/>
        </w:rPr>
        <w:t xml:space="preserve"> investment projects, including shareholding structure</w:t>
      </w:r>
      <w:r>
        <w:rPr>
          <w:rFonts w:ascii="Arial" w:hAnsi="Arial" w:cs="Arial"/>
        </w:rPr>
        <w:t xml:space="preserve"> and </w:t>
      </w:r>
      <w:r w:rsidRPr="00BF5370">
        <w:rPr>
          <w:rFonts w:ascii="Arial" w:hAnsi="Arial" w:cs="Arial"/>
        </w:rPr>
        <w:t>organisational structure</w:t>
      </w:r>
      <w:r>
        <w:rPr>
          <w:rFonts w:ascii="Arial" w:hAnsi="Arial" w:cs="Arial"/>
        </w:rPr>
        <w:t xml:space="preserve"> of the investment projects, employment of senior management involved in the investment projects,</w:t>
      </w:r>
      <w:r w:rsidRPr="00BF5370">
        <w:rPr>
          <w:rFonts w:ascii="Arial" w:hAnsi="Arial" w:cs="Arial"/>
        </w:rPr>
        <w:t xml:space="preserve"> </w:t>
      </w:r>
      <w:r>
        <w:rPr>
          <w:rFonts w:ascii="Arial" w:hAnsi="Arial" w:cs="Arial"/>
        </w:rPr>
        <w:t>decision making process and the parties with final decision making authority about the investment projects</w:t>
      </w:r>
      <w:r w:rsidRPr="00BF5370">
        <w:rPr>
          <w:rFonts w:ascii="Arial" w:hAnsi="Arial" w:cs="Arial"/>
        </w:rPr>
        <w:t xml:space="preserve">.  </w:t>
      </w:r>
    </w:p>
    <w:p w:rsidR="005B19D8" w:rsidRPr="00BF5370" w:rsidRDefault="005B19D8" w:rsidP="004132A5">
      <w:pPr>
        <w:pStyle w:val="ListParagraph"/>
        <w:spacing w:before="240" w:after="0" w:line="240" w:lineRule="auto"/>
        <w:ind w:left="1592"/>
        <w:jc w:val="both"/>
        <w:rPr>
          <w:rFonts w:ascii="Arial" w:hAnsi="Arial" w:cs="Arial"/>
        </w:rPr>
      </w:pPr>
    </w:p>
    <w:p w:rsidR="005B19D8" w:rsidRDefault="005B19D8" w:rsidP="00EC42C0">
      <w:pPr>
        <w:pStyle w:val="ListParagraph"/>
        <w:numPr>
          <w:ilvl w:val="0"/>
          <w:numId w:val="25"/>
        </w:numPr>
        <w:spacing w:before="240" w:after="0" w:line="240" w:lineRule="auto"/>
        <w:jc w:val="both"/>
        <w:rPr>
          <w:rFonts w:ascii="Arial" w:hAnsi="Arial" w:cs="Arial"/>
        </w:rPr>
      </w:pPr>
      <w:r w:rsidRPr="00BF5370">
        <w:rPr>
          <w:rFonts w:ascii="Arial" w:hAnsi="Arial" w:cs="Arial"/>
        </w:rPr>
        <w:t xml:space="preserve">Data of </w:t>
      </w:r>
      <w:r>
        <w:rPr>
          <w:rFonts w:ascii="Arial" w:hAnsi="Arial" w:cs="Arial"/>
        </w:rPr>
        <w:t>outbound</w:t>
      </w:r>
      <w:r w:rsidRPr="00BF5370">
        <w:rPr>
          <w:rFonts w:ascii="Arial" w:hAnsi="Arial" w:cs="Arial"/>
        </w:rPr>
        <w:t xml:space="preserve"> investment projects, including operational data.</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22"/>
        </w:numPr>
        <w:spacing w:before="240" w:after="0" w:line="240" w:lineRule="auto"/>
        <w:ind w:left="1232" w:hanging="381"/>
        <w:jc w:val="both"/>
        <w:rPr>
          <w:rFonts w:ascii="Arial" w:hAnsi="Arial" w:cs="Arial"/>
        </w:rPr>
      </w:pPr>
      <w:r>
        <w:rPr>
          <w:rFonts w:ascii="Arial" w:hAnsi="Arial" w:cs="Arial"/>
        </w:rPr>
        <w:t>Related party equity transfer</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26"/>
        </w:numPr>
        <w:spacing w:before="240" w:after="0" w:line="240" w:lineRule="auto"/>
        <w:jc w:val="both"/>
        <w:rPr>
          <w:rFonts w:ascii="Arial" w:hAnsi="Arial" w:cs="Arial"/>
        </w:rPr>
      </w:pPr>
      <w:r>
        <w:rPr>
          <w:rFonts w:ascii="Arial" w:hAnsi="Arial" w:cs="Arial"/>
        </w:rPr>
        <w:t>An overview</w:t>
      </w:r>
      <w:r w:rsidRPr="00135DA4">
        <w:rPr>
          <w:rFonts w:ascii="Arial" w:hAnsi="Arial" w:cs="Arial"/>
        </w:rPr>
        <w:t xml:space="preserve"> of </w:t>
      </w:r>
      <w:r>
        <w:rPr>
          <w:rFonts w:ascii="Arial" w:hAnsi="Arial" w:cs="Arial"/>
        </w:rPr>
        <w:t xml:space="preserve">related party </w:t>
      </w:r>
      <w:r w:rsidRPr="00135DA4">
        <w:rPr>
          <w:rFonts w:ascii="Arial" w:hAnsi="Arial" w:cs="Arial"/>
        </w:rPr>
        <w:t>equity transfer, including background, parties</w:t>
      </w:r>
      <w:r>
        <w:rPr>
          <w:rFonts w:ascii="Arial" w:hAnsi="Arial" w:cs="Arial"/>
        </w:rPr>
        <w:t xml:space="preserve"> involved, </w:t>
      </w:r>
      <w:r w:rsidRPr="00135DA4">
        <w:rPr>
          <w:rFonts w:ascii="Arial" w:hAnsi="Arial" w:cs="Arial"/>
        </w:rPr>
        <w:t xml:space="preserve">timing, pricing, payment method of the transfer, as well as other factors affecting the transfer. </w:t>
      </w:r>
    </w:p>
    <w:p w:rsidR="005B19D8" w:rsidRPr="00135DA4" w:rsidRDefault="005B19D8" w:rsidP="004132A5">
      <w:pPr>
        <w:pStyle w:val="ListParagraph"/>
        <w:spacing w:before="240" w:after="0" w:line="240" w:lineRule="auto"/>
        <w:ind w:left="1592"/>
        <w:jc w:val="both"/>
        <w:rPr>
          <w:rFonts w:ascii="Arial" w:hAnsi="Arial" w:cs="Arial"/>
        </w:rPr>
      </w:pPr>
    </w:p>
    <w:p w:rsidR="005B19D8" w:rsidRPr="003911F0" w:rsidRDefault="005B19D8" w:rsidP="00EC42C0">
      <w:pPr>
        <w:pStyle w:val="ListParagraph"/>
        <w:numPr>
          <w:ilvl w:val="0"/>
          <w:numId w:val="26"/>
        </w:numPr>
        <w:spacing w:before="240" w:after="0" w:line="240" w:lineRule="auto"/>
        <w:jc w:val="both"/>
        <w:rPr>
          <w:rFonts w:ascii="Arial" w:hAnsi="Arial" w:cs="Arial"/>
        </w:rPr>
      </w:pPr>
      <w:r>
        <w:rPr>
          <w:rFonts w:ascii="Arial" w:hAnsi="Arial" w:cs="Arial"/>
        </w:rPr>
        <w:t>Information on the equity transferred,</w:t>
      </w:r>
      <w:r w:rsidRPr="00135DA4">
        <w:rPr>
          <w:rFonts w:ascii="Arial" w:hAnsi="Arial" w:cs="Arial"/>
        </w:rPr>
        <w:t xml:space="preserve"> including information like the </w:t>
      </w:r>
      <w:r>
        <w:rPr>
          <w:rFonts w:ascii="Arial" w:hAnsi="Arial" w:cs="Arial"/>
        </w:rPr>
        <w:t xml:space="preserve">equity’s </w:t>
      </w:r>
      <w:r w:rsidRPr="00135DA4">
        <w:rPr>
          <w:rFonts w:ascii="Arial" w:hAnsi="Arial" w:cs="Arial"/>
        </w:rPr>
        <w:t>geographic location, timing</w:t>
      </w:r>
      <w:r w:rsidRPr="00C66B9C">
        <w:rPr>
          <w:rFonts w:ascii="Arial" w:hAnsi="Arial" w:cs="Arial"/>
        </w:rPr>
        <w:t xml:space="preserve"> of the transfer</w:t>
      </w:r>
      <w:r w:rsidRPr="00135DA4">
        <w:rPr>
          <w:rFonts w:ascii="Arial" w:hAnsi="Arial" w:cs="Arial"/>
        </w:rPr>
        <w:t>, methodology</w:t>
      </w:r>
      <w:r w:rsidRPr="000072D4">
        <w:rPr>
          <w:rFonts w:ascii="Arial" w:hAnsi="Arial" w:cs="Arial"/>
        </w:rPr>
        <w:t xml:space="preserve"> </w:t>
      </w:r>
      <w:r w:rsidRPr="00C66B9C">
        <w:rPr>
          <w:rFonts w:ascii="Arial" w:hAnsi="Arial" w:cs="Arial"/>
        </w:rPr>
        <w:t>of the transfer</w:t>
      </w:r>
      <w:r w:rsidRPr="00135DA4">
        <w:rPr>
          <w:rFonts w:ascii="Arial" w:hAnsi="Arial" w:cs="Arial"/>
        </w:rPr>
        <w:t xml:space="preserve">, cost of the transfer, income generated from the transfer, etc. </w:t>
      </w:r>
    </w:p>
    <w:p w:rsidR="005B19D8" w:rsidRPr="00135DA4" w:rsidRDefault="005B19D8" w:rsidP="004132A5">
      <w:pPr>
        <w:pStyle w:val="ListParagraph"/>
        <w:spacing w:before="240" w:after="0" w:line="240" w:lineRule="auto"/>
        <w:ind w:left="1592"/>
        <w:jc w:val="both"/>
        <w:rPr>
          <w:rFonts w:ascii="Arial" w:hAnsi="Arial" w:cs="Arial"/>
        </w:rPr>
      </w:pPr>
    </w:p>
    <w:p w:rsidR="005B19D8" w:rsidRDefault="005B19D8" w:rsidP="00EC42C0">
      <w:pPr>
        <w:pStyle w:val="ListParagraph"/>
        <w:numPr>
          <w:ilvl w:val="0"/>
          <w:numId w:val="26"/>
        </w:numPr>
        <w:spacing w:before="240" w:after="0" w:line="240" w:lineRule="auto"/>
        <w:jc w:val="both"/>
        <w:rPr>
          <w:rFonts w:ascii="Arial" w:hAnsi="Arial" w:cs="Arial"/>
        </w:rPr>
      </w:pPr>
      <w:r>
        <w:rPr>
          <w:rFonts w:ascii="Arial" w:hAnsi="Arial" w:cs="Arial"/>
        </w:rPr>
        <w:t>Due diligence report or asset valuation report or any other information pertaining to the equity transfer</w:t>
      </w:r>
      <w:r w:rsidRPr="00135DA4">
        <w:rPr>
          <w:rFonts w:ascii="Arial" w:hAnsi="Arial" w:cs="Arial"/>
        </w:rPr>
        <w:t>.</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22"/>
        </w:numPr>
        <w:spacing w:before="240" w:after="0" w:line="240" w:lineRule="auto"/>
        <w:ind w:left="1232" w:hanging="381"/>
        <w:jc w:val="both"/>
        <w:rPr>
          <w:rFonts w:ascii="Arial" w:hAnsi="Arial" w:cs="Arial"/>
        </w:rPr>
      </w:pPr>
      <w:r>
        <w:rPr>
          <w:rFonts w:ascii="Arial" w:hAnsi="Arial" w:cs="Arial"/>
        </w:rPr>
        <w:t xml:space="preserve">Related party services </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27"/>
        </w:numPr>
        <w:spacing w:before="240" w:after="0" w:line="240" w:lineRule="auto"/>
        <w:jc w:val="both"/>
        <w:rPr>
          <w:rFonts w:ascii="Arial" w:hAnsi="Arial" w:cs="Arial"/>
        </w:rPr>
      </w:pPr>
      <w:r>
        <w:rPr>
          <w:rFonts w:ascii="Arial" w:hAnsi="Arial" w:cs="Arial"/>
        </w:rPr>
        <w:t>An overview</w:t>
      </w:r>
      <w:r w:rsidRPr="000072D4">
        <w:rPr>
          <w:rFonts w:ascii="Arial" w:hAnsi="Arial" w:cs="Arial"/>
        </w:rPr>
        <w:t xml:space="preserve"> of </w:t>
      </w:r>
      <w:r>
        <w:rPr>
          <w:rFonts w:ascii="Arial" w:hAnsi="Arial" w:cs="Arial"/>
        </w:rPr>
        <w:t>related party</w:t>
      </w:r>
      <w:r w:rsidRPr="000072D4">
        <w:rPr>
          <w:rFonts w:ascii="Arial" w:hAnsi="Arial" w:cs="Arial"/>
        </w:rPr>
        <w:t xml:space="preserve"> services, including service providers and recipients, nature of services, </w:t>
      </w:r>
      <w:r>
        <w:rPr>
          <w:rFonts w:ascii="Arial" w:hAnsi="Arial" w:cs="Arial"/>
        </w:rPr>
        <w:t>characteristics, method of service delivery, pricing policies and methods</w:t>
      </w:r>
      <w:r w:rsidRPr="000072D4">
        <w:rPr>
          <w:rFonts w:ascii="Arial" w:hAnsi="Arial" w:cs="Arial"/>
        </w:rPr>
        <w:t xml:space="preserve">, form of payments, </w:t>
      </w:r>
      <w:r>
        <w:rPr>
          <w:rFonts w:ascii="Arial" w:hAnsi="Arial" w:cs="Arial"/>
        </w:rPr>
        <w:t xml:space="preserve">and </w:t>
      </w:r>
      <w:r w:rsidRPr="00AA2CB1">
        <w:rPr>
          <w:rFonts w:ascii="Arial" w:hAnsi="Arial" w:cs="Arial"/>
        </w:rPr>
        <w:t>benefits received by each party in relation to the services provided</w:t>
      </w:r>
      <w:r>
        <w:rPr>
          <w:rFonts w:ascii="Arial" w:hAnsi="Arial" w:cs="Arial"/>
        </w:rPr>
        <w:t>,</w:t>
      </w:r>
      <w:r w:rsidRPr="00AA2CB1">
        <w:rPr>
          <w:rFonts w:ascii="Arial" w:hAnsi="Arial" w:cs="Arial"/>
        </w:rPr>
        <w:t xml:space="preserve"> </w:t>
      </w:r>
      <w:r w:rsidRPr="000072D4">
        <w:rPr>
          <w:rFonts w:ascii="Arial" w:hAnsi="Arial" w:cs="Arial"/>
        </w:rPr>
        <w:t>etc.</w:t>
      </w:r>
    </w:p>
    <w:p w:rsidR="005B19D8" w:rsidRPr="000072D4" w:rsidRDefault="005B19D8" w:rsidP="004132A5">
      <w:pPr>
        <w:pStyle w:val="ListParagraph"/>
        <w:spacing w:before="240" w:after="0" w:line="240" w:lineRule="auto"/>
        <w:ind w:left="1592"/>
        <w:jc w:val="both"/>
        <w:rPr>
          <w:rFonts w:ascii="Arial" w:hAnsi="Arial" w:cs="Arial"/>
        </w:rPr>
      </w:pPr>
    </w:p>
    <w:p w:rsidR="005B19D8" w:rsidRPr="003911F0" w:rsidRDefault="005B19D8" w:rsidP="00EC42C0">
      <w:pPr>
        <w:pStyle w:val="ListParagraph"/>
        <w:numPr>
          <w:ilvl w:val="0"/>
          <w:numId w:val="27"/>
        </w:numPr>
        <w:spacing w:before="240" w:after="0" w:line="240" w:lineRule="auto"/>
        <w:jc w:val="both"/>
        <w:rPr>
          <w:rFonts w:ascii="Arial" w:hAnsi="Arial" w:cs="Arial"/>
        </w:rPr>
      </w:pPr>
      <w:r>
        <w:rPr>
          <w:rFonts w:ascii="Arial" w:hAnsi="Arial" w:cs="Arial"/>
        </w:rPr>
        <w:t>Methodology for determining the service costs, service items, service amount, allocation keys, calculation process and results</w:t>
      </w:r>
      <w:r w:rsidRPr="000072D4">
        <w:rPr>
          <w:rFonts w:ascii="Arial" w:hAnsi="Arial" w:cs="Arial"/>
        </w:rPr>
        <w:t xml:space="preserve">. </w:t>
      </w:r>
    </w:p>
    <w:p w:rsidR="005B19D8" w:rsidRPr="000072D4" w:rsidRDefault="005B19D8" w:rsidP="004132A5">
      <w:pPr>
        <w:pStyle w:val="ListParagraph"/>
        <w:spacing w:before="240" w:after="0" w:line="240" w:lineRule="auto"/>
        <w:ind w:left="1592"/>
        <w:jc w:val="both"/>
        <w:rPr>
          <w:rFonts w:ascii="Arial" w:hAnsi="Arial" w:cs="Arial"/>
        </w:rPr>
      </w:pPr>
    </w:p>
    <w:p w:rsidR="005B19D8" w:rsidRDefault="005B19D8" w:rsidP="00EC42C0">
      <w:pPr>
        <w:pStyle w:val="ListParagraph"/>
        <w:numPr>
          <w:ilvl w:val="0"/>
          <w:numId w:val="27"/>
        </w:numPr>
        <w:spacing w:before="240" w:after="0" w:line="240" w:lineRule="auto"/>
        <w:jc w:val="both"/>
        <w:rPr>
          <w:rFonts w:ascii="Arial" w:hAnsi="Arial" w:cs="Arial"/>
        </w:rPr>
      </w:pPr>
      <w:r>
        <w:rPr>
          <w:rFonts w:ascii="Arial" w:hAnsi="Arial" w:cs="Arial"/>
        </w:rPr>
        <w:t xml:space="preserve">Where the enterprise and its group are involved in transactions of the same or similar nature with an unrelated party, </w:t>
      </w:r>
      <w:r w:rsidRPr="00D24DF5">
        <w:rPr>
          <w:rFonts w:ascii="Arial" w:hAnsi="Arial" w:cs="Arial"/>
        </w:rPr>
        <w:t>the enterprise shall describe in detail</w:t>
      </w:r>
      <w:r>
        <w:rPr>
          <w:rFonts w:ascii="Arial" w:hAnsi="Arial" w:cs="Arial"/>
        </w:rPr>
        <w:t xml:space="preserve"> how the transactions are similar to or different from related party transactions in</w:t>
      </w:r>
      <w:r w:rsidRPr="00D24DF5">
        <w:rPr>
          <w:rFonts w:ascii="Arial" w:hAnsi="Arial" w:cs="Arial"/>
        </w:rPr>
        <w:t xml:space="preserve"> </w:t>
      </w:r>
      <w:r>
        <w:rPr>
          <w:rFonts w:ascii="Arial" w:hAnsi="Arial" w:cs="Arial"/>
        </w:rPr>
        <w:t xml:space="preserve">pricing policies </w:t>
      </w:r>
      <w:r w:rsidRPr="00D24DF5">
        <w:rPr>
          <w:rFonts w:ascii="Arial" w:hAnsi="Arial" w:cs="Arial"/>
        </w:rPr>
        <w:t>and result</w:t>
      </w:r>
      <w:r>
        <w:rPr>
          <w:rFonts w:ascii="Arial" w:hAnsi="Arial" w:cs="Arial"/>
        </w:rPr>
        <w:t>s</w:t>
      </w:r>
      <w:r w:rsidRPr="00D24DF5">
        <w:rPr>
          <w:rFonts w:ascii="Arial" w:hAnsi="Arial" w:cs="Arial"/>
        </w:rPr>
        <w:t>.</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22"/>
        </w:numPr>
        <w:spacing w:before="240" w:after="0" w:line="240" w:lineRule="auto"/>
        <w:ind w:left="1232" w:hanging="381"/>
        <w:jc w:val="both"/>
        <w:rPr>
          <w:rFonts w:ascii="Arial" w:hAnsi="Arial" w:cs="Arial"/>
        </w:rPr>
      </w:pPr>
      <w:r>
        <w:rPr>
          <w:rFonts w:ascii="Arial" w:hAnsi="Arial" w:cs="Arial"/>
        </w:rPr>
        <w:t>Existing advance pricing agreements and other tax rulings to which the PRC is not a party and which are related to the enterprise’s related party transactions.</w:t>
      </w:r>
      <w:r w:rsidRPr="00D84227">
        <w:rPr>
          <w:rFonts w:ascii="Arial" w:hAnsi="Arial" w:cs="Arial"/>
        </w:rPr>
        <w:t xml:space="preserve"> </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19"/>
        </w:numPr>
        <w:spacing w:before="240" w:after="0" w:line="240" w:lineRule="auto"/>
        <w:ind w:left="851" w:hanging="491"/>
        <w:jc w:val="both"/>
        <w:rPr>
          <w:rFonts w:ascii="Arial" w:hAnsi="Arial" w:cs="Arial"/>
        </w:rPr>
      </w:pPr>
      <w:r w:rsidRPr="00742843">
        <w:rPr>
          <w:rFonts w:ascii="Arial" w:hAnsi="Arial" w:cs="Arial"/>
        </w:rPr>
        <w:t>Comparability analysis</w:t>
      </w:r>
    </w:p>
    <w:p w:rsidR="005B19D8"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28"/>
        </w:numPr>
        <w:spacing w:before="240" w:after="0" w:line="240" w:lineRule="auto"/>
        <w:ind w:left="1232" w:hanging="381"/>
        <w:jc w:val="both"/>
        <w:rPr>
          <w:rFonts w:ascii="Arial" w:hAnsi="Arial" w:cs="Arial"/>
        </w:rPr>
      </w:pPr>
      <w:r>
        <w:rPr>
          <w:rFonts w:ascii="Arial" w:hAnsi="Arial" w:cs="Arial"/>
        </w:rPr>
        <w:t>Factors considered</w:t>
      </w:r>
      <w:r w:rsidRPr="00B525B2">
        <w:rPr>
          <w:rFonts w:ascii="Arial" w:hAnsi="Arial" w:cs="Arial"/>
        </w:rPr>
        <w:t xml:space="preserve"> in the comparability analysis, including characteristics of the </w:t>
      </w:r>
      <w:r>
        <w:rPr>
          <w:rFonts w:ascii="Arial" w:hAnsi="Arial" w:cs="Arial"/>
        </w:rPr>
        <w:t>goods</w:t>
      </w:r>
      <w:r w:rsidRPr="00B525B2">
        <w:rPr>
          <w:rFonts w:ascii="Arial" w:hAnsi="Arial" w:cs="Arial"/>
        </w:rPr>
        <w:t xml:space="preserve"> or services involved in the transactions, functions</w:t>
      </w:r>
      <w:r>
        <w:rPr>
          <w:rFonts w:ascii="Arial" w:hAnsi="Arial" w:cs="Arial"/>
        </w:rPr>
        <w:t xml:space="preserve"> performed</w:t>
      </w:r>
      <w:r w:rsidRPr="00B525B2">
        <w:rPr>
          <w:rFonts w:ascii="Arial" w:hAnsi="Arial" w:cs="Arial"/>
        </w:rPr>
        <w:t>, risks</w:t>
      </w:r>
      <w:r>
        <w:rPr>
          <w:rFonts w:ascii="Arial" w:hAnsi="Arial" w:cs="Arial"/>
        </w:rPr>
        <w:t xml:space="preserve"> assumed</w:t>
      </w:r>
      <w:r w:rsidRPr="00B525B2">
        <w:rPr>
          <w:rFonts w:ascii="Arial" w:hAnsi="Arial" w:cs="Arial"/>
        </w:rPr>
        <w:t xml:space="preserve"> and assets </w:t>
      </w:r>
      <w:r>
        <w:rPr>
          <w:rFonts w:ascii="Arial" w:hAnsi="Arial" w:cs="Arial"/>
        </w:rPr>
        <w:t xml:space="preserve">used by each </w:t>
      </w:r>
      <w:r w:rsidRPr="00B525B2">
        <w:rPr>
          <w:rFonts w:ascii="Arial" w:hAnsi="Arial" w:cs="Arial"/>
        </w:rPr>
        <w:t>part</w:t>
      </w:r>
      <w:r>
        <w:rPr>
          <w:rFonts w:ascii="Arial" w:hAnsi="Arial" w:cs="Arial"/>
        </w:rPr>
        <w:t>y</w:t>
      </w:r>
      <w:r w:rsidRPr="00B525B2">
        <w:rPr>
          <w:rFonts w:ascii="Arial" w:hAnsi="Arial" w:cs="Arial"/>
        </w:rPr>
        <w:t xml:space="preserve"> </w:t>
      </w:r>
      <w:r>
        <w:rPr>
          <w:rFonts w:ascii="Arial" w:hAnsi="Arial" w:cs="Arial"/>
        </w:rPr>
        <w:t>involved</w:t>
      </w:r>
      <w:r w:rsidRPr="00B525B2">
        <w:rPr>
          <w:rFonts w:ascii="Arial" w:hAnsi="Arial" w:cs="Arial"/>
        </w:rPr>
        <w:t>, contractual terms, economic environment, business strategies, etc.</w:t>
      </w:r>
    </w:p>
    <w:p w:rsidR="005B19D8" w:rsidRPr="00B525B2" w:rsidRDefault="005B19D8" w:rsidP="004132A5">
      <w:pPr>
        <w:pStyle w:val="ListParagraph"/>
        <w:spacing w:before="240" w:after="0" w:line="240" w:lineRule="auto"/>
        <w:ind w:left="1232"/>
        <w:jc w:val="both"/>
        <w:rPr>
          <w:rFonts w:ascii="Arial" w:hAnsi="Arial" w:cs="Arial"/>
        </w:rPr>
      </w:pPr>
    </w:p>
    <w:p w:rsidR="005B19D8" w:rsidRPr="003911F0" w:rsidRDefault="005B19D8" w:rsidP="00EC42C0">
      <w:pPr>
        <w:pStyle w:val="ListParagraph"/>
        <w:numPr>
          <w:ilvl w:val="0"/>
          <w:numId w:val="28"/>
        </w:numPr>
        <w:spacing w:before="240" w:after="0" w:line="240" w:lineRule="auto"/>
        <w:ind w:left="1232" w:hanging="381"/>
        <w:jc w:val="both"/>
        <w:rPr>
          <w:rFonts w:ascii="Arial" w:hAnsi="Arial" w:cs="Arial"/>
        </w:rPr>
      </w:pPr>
      <w:r>
        <w:rPr>
          <w:rFonts w:ascii="Arial" w:hAnsi="Arial" w:cs="Arial"/>
        </w:rPr>
        <w:t>Information related to</w:t>
      </w:r>
      <w:r w:rsidRPr="00B525B2">
        <w:rPr>
          <w:rFonts w:ascii="Arial" w:hAnsi="Arial" w:cs="Arial"/>
        </w:rPr>
        <w:t xml:space="preserve"> the functions performed, risks </w:t>
      </w:r>
      <w:r>
        <w:rPr>
          <w:rFonts w:ascii="Arial" w:hAnsi="Arial" w:cs="Arial"/>
        </w:rPr>
        <w:t>assumed</w:t>
      </w:r>
      <w:r w:rsidRPr="00B525B2">
        <w:rPr>
          <w:rFonts w:ascii="Arial" w:hAnsi="Arial" w:cs="Arial"/>
        </w:rPr>
        <w:t xml:space="preserve">, and assets </w:t>
      </w:r>
      <w:r>
        <w:rPr>
          <w:rFonts w:ascii="Arial" w:hAnsi="Arial" w:cs="Arial"/>
        </w:rPr>
        <w:t>used</w:t>
      </w:r>
      <w:r w:rsidRPr="00B525B2">
        <w:rPr>
          <w:rFonts w:ascii="Arial" w:hAnsi="Arial" w:cs="Arial"/>
        </w:rPr>
        <w:t xml:space="preserve"> by the comparable companies.</w:t>
      </w:r>
    </w:p>
    <w:p w:rsidR="005B19D8" w:rsidRPr="00B525B2" w:rsidRDefault="005B19D8" w:rsidP="004132A5">
      <w:pPr>
        <w:pStyle w:val="ListParagraph"/>
        <w:spacing w:before="240" w:after="0" w:line="240" w:lineRule="auto"/>
        <w:ind w:left="1232"/>
        <w:jc w:val="both"/>
        <w:rPr>
          <w:rFonts w:ascii="Arial" w:hAnsi="Arial" w:cs="Arial"/>
        </w:rPr>
      </w:pPr>
    </w:p>
    <w:p w:rsidR="005B19D8" w:rsidRPr="003911F0" w:rsidRDefault="005B19D8" w:rsidP="00EC42C0">
      <w:pPr>
        <w:pStyle w:val="ListParagraph"/>
        <w:numPr>
          <w:ilvl w:val="0"/>
          <w:numId w:val="28"/>
        </w:numPr>
        <w:spacing w:before="240" w:after="0" w:line="240" w:lineRule="auto"/>
        <w:ind w:left="1232" w:hanging="381"/>
        <w:jc w:val="both"/>
        <w:rPr>
          <w:rFonts w:ascii="Arial" w:hAnsi="Arial" w:cs="Arial"/>
        </w:rPr>
      </w:pPr>
      <w:r w:rsidRPr="00C66B9C">
        <w:rPr>
          <w:rFonts w:ascii="Arial" w:hAnsi="Arial" w:cs="Arial"/>
        </w:rPr>
        <w:t xml:space="preserve">Search process for comparables, data source, selection criteria and </w:t>
      </w:r>
      <w:r>
        <w:rPr>
          <w:rFonts w:ascii="Arial" w:hAnsi="Arial" w:cs="Arial"/>
        </w:rPr>
        <w:t xml:space="preserve">rationale </w:t>
      </w:r>
      <w:r w:rsidRPr="00C66B9C">
        <w:rPr>
          <w:rFonts w:ascii="Arial" w:hAnsi="Arial" w:cs="Arial"/>
        </w:rPr>
        <w:t>for setting the criteria</w:t>
      </w:r>
      <w:r w:rsidRPr="00B525B2">
        <w:rPr>
          <w:rFonts w:ascii="Arial" w:hAnsi="Arial" w:cs="Arial"/>
        </w:rPr>
        <w:t>.</w:t>
      </w:r>
    </w:p>
    <w:p w:rsidR="005B19D8" w:rsidRPr="00B525B2" w:rsidRDefault="005B19D8" w:rsidP="004132A5">
      <w:pPr>
        <w:pStyle w:val="ListParagraph"/>
        <w:spacing w:before="240" w:after="0" w:line="240" w:lineRule="auto"/>
        <w:ind w:left="1232"/>
        <w:jc w:val="both"/>
        <w:rPr>
          <w:rFonts w:ascii="Arial" w:hAnsi="Arial" w:cs="Arial"/>
        </w:rPr>
      </w:pPr>
    </w:p>
    <w:p w:rsidR="005B19D8" w:rsidRPr="003911F0" w:rsidRDefault="005B19D8" w:rsidP="00EC42C0">
      <w:pPr>
        <w:pStyle w:val="ListParagraph"/>
        <w:numPr>
          <w:ilvl w:val="0"/>
          <w:numId w:val="28"/>
        </w:numPr>
        <w:spacing w:before="240" w:after="0" w:line="240" w:lineRule="auto"/>
        <w:ind w:left="1232" w:hanging="381"/>
        <w:jc w:val="both"/>
        <w:rPr>
          <w:rFonts w:ascii="Arial" w:hAnsi="Arial" w:cs="Arial"/>
        </w:rPr>
      </w:pPr>
      <w:r>
        <w:rPr>
          <w:rFonts w:ascii="Arial" w:hAnsi="Arial" w:cs="Arial"/>
        </w:rPr>
        <w:t>I</w:t>
      </w:r>
      <w:r w:rsidRPr="00C66B9C">
        <w:rPr>
          <w:rFonts w:ascii="Arial" w:hAnsi="Arial" w:cs="Arial"/>
        </w:rPr>
        <w:t xml:space="preserve">nformation </w:t>
      </w:r>
      <w:r>
        <w:rPr>
          <w:rFonts w:ascii="Arial" w:hAnsi="Arial" w:cs="Arial"/>
        </w:rPr>
        <w:t>of</w:t>
      </w:r>
      <w:r w:rsidRPr="00C66B9C">
        <w:rPr>
          <w:rFonts w:ascii="Arial" w:hAnsi="Arial" w:cs="Arial"/>
        </w:rPr>
        <w:t xml:space="preserve"> </w:t>
      </w:r>
      <w:r>
        <w:rPr>
          <w:rFonts w:ascii="Arial" w:hAnsi="Arial" w:cs="Arial"/>
        </w:rPr>
        <w:t xml:space="preserve">selected </w:t>
      </w:r>
      <w:r w:rsidRPr="00C66B9C">
        <w:rPr>
          <w:rFonts w:ascii="Arial" w:hAnsi="Arial" w:cs="Arial"/>
        </w:rPr>
        <w:t xml:space="preserve">internal or external comparable uncontrolled transactions and </w:t>
      </w:r>
      <w:r>
        <w:rPr>
          <w:rFonts w:ascii="Arial" w:hAnsi="Arial" w:cs="Arial"/>
        </w:rPr>
        <w:t xml:space="preserve">financial information of </w:t>
      </w:r>
      <w:r w:rsidRPr="00C66B9C">
        <w:rPr>
          <w:rFonts w:ascii="Arial" w:hAnsi="Arial" w:cs="Arial"/>
        </w:rPr>
        <w:t>comparable companies</w:t>
      </w:r>
      <w:r w:rsidRPr="00B525B2">
        <w:rPr>
          <w:rFonts w:ascii="Arial" w:hAnsi="Arial" w:cs="Arial"/>
        </w:rPr>
        <w:t xml:space="preserve">. </w:t>
      </w:r>
    </w:p>
    <w:p w:rsidR="005B19D8" w:rsidRPr="00B525B2"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28"/>
        </w:numPr>
        <w:spacing w:before="240" w:after="0" w:line="240" w:lineRule="auto"/>
        <w:ind w:left="1232" w:hanging="381"/>
        <w:jc w:val="both"/>
        <w:rPr>
          <w:rFonts w:ascii="Arial" w:hAnsi="Arial" w:cs="Arial"/>
        </w:rPr>
      </w:pPr>
      <w:r>
        <w:rPr>
          <w:rFonts w:ascii="Arial" w:hAnsi="Arial" w:cs="Arial"/>
        </w:rPr>
        <w:t>Comparability adjustments and rationale for the adjustments.</w:t>
      </w:r>
    </w:p>
    <w:p w:rsidR="005B19D8"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19"/>
        </w:numPr>
        <w:spacing w:before="240" w:after="0" w:line="240" w:lineRule="auto"/>
        <w:ind w:left="851" w:hanging="491"/>
        <w:jc w:val="both"/>
        <w:rPr>
          <w:rFonts w:ascii="Arial" w:hAnsi="Arial" w:cs="Arial"/>
        </w:rPr>
      </w:pPr>
      <w:r>
        <w:rPr>
          <w:rFonts w:ascii="Arial" w:hAnsi="Arial" w:cs="Arial"/>
        </w:rPr>
        <w:t>Selection and application of transfer pricing method</w:t>
      </w:r>
    </w:p>
    <w:p w:rsidR="005B19D8" w:rsidRPr="00D24DF5"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29"/>
        </w:numPr>
        <w:spacing w:before="240" w:after="0" w:line="240" w:lineRule="auto"/>
        <w:ind w:left="1232" w:hanging="381"/>
        <w:jc w:val="both"/>
        <w:rPr>
          <w:rFonts w:ascii="Arial" w:hAnsi="Arial" w:cs="Arial"/>
        </w:rPr>
      </w:pPr>
      <w:r>
        <w:rPr>
          <w:rFonts w:ascii="Arial" w:hAnsi="Arial" w:cs="Arial"/>
        </w:rPr>
        <w:t>Selection of tested party and rationale for the selection.</w:t>
      </w:r>
    </w:p>
    <w:p w:rsidR="005B19D8" w:rsidRDefault="005B19D8" w:rsidP="004132A5">
      <w:pPr>
        <w:pStyle w:val="ListParagraph"/>
        <w:spacing w:before="240" w:after="0" w:line="240" w:lineRule="auto"/>
        <w:ind w:left="1232"/>
        <w:jc w:val="both"/>
        <w:rPr>
          <w:rFonts w:ascii="Arial" w:hAnsi="Arial" w:cs="Arial"/>
        </w:rPr>
      </w:pPr>
    </w:p>
    <w:p w:rsidR="005B19D8" w:rsidRDefault="005B19D8" w:rsidP="00EC42C0">
      <w:pPr>
        <w:pStyle w:val="ListParagraph"/>
        <w:numPr>
          <w:ilvl w:val="0"/>
          <w:numId w:val="29"/>
        </w:numPr>
        <w:spacing w:before="240" w:after="0" w:line="240" w:lineRule="auto"/>
        <w:ind w:left="1232" w:hanging="381"/>
        <w:jc w:val="both"/>
        <w:rPr>
          <w:rFonts w:ascii="Arial" w:hAnsi="Arial" w:cs="Arial"/>
        </w:rPr>
      </w:pPr>
      <w:r w:rsidRPr="003911F0">
        <w:rPr>
          <w:rFonts w:ascii="Arial" w:hAnsi="Arial" w:cs="Arial"/>
        </w:rPr>
        <w:t>Selection of transfer pricing method</w:t>
      </w:r>
      <w:r>
        <w:rPr>
          <w:rFonts w:ascii="Arial" w:hAnsi="Arial" w:cs="Arial"/>
        </w:rPr>
        <w:t xml:space="preserve"> and rationale for the selection.  </w:t>
      </w:r>
      <w:r w:rsidRPr="003911F0">
        <w:rPr>
          <w:rFonts w:ascii="Arial" w:hAnsi="Arial" w:cs="Arial"/>
        </w:rPr>
        <w:t>Regardless of the transfer pricing method selected, description of the contribution of the enterprise to the group’s overall profit or residual profit</w:t>
      </w:r>
      <w:r>
        <w:rPr>
          <w:rFonts w:ascii="Arial" w:hAnsi="Arial" w:cs="Arial"/>
        </w:rPr>
        <w:t xml:space="preserve"> is required</w:t>
      </w:r>
      <w:r w:rsidRPr="003911F0">
        <w:rPr>
          <w:rFonts w:ascii="Arial" w:hAnsi="Arial" w:cs="Arial"/>
        </w:rPr>
        <w:t xml:space="preserve">. </w:t>
      </w:r>
    </w:p>
    <w:p w:rsidR="005B19D8" w:rsidRPr="003911F0" w:rsidRDefault="005B19D8" w:rsidP="004132A5">
      <w:pPr>
        <w:pStyle w:val="ListParagraph"/>
        <w:ind w:left="1232"/>
        <w:rPr>
          <w:rFonts w:ascii="Arial" w:hAnsi="Arial" w:cs="Arial"/>
        </w:rPr>
      </w:pPr>
    </w:p>
    <w:p w:rsidR="005B19D8" w:rsidRPr="006D3FEF" w:rsidRDefault="005B19D8" w:rsidP="00EC42C0">
      <w:pPr>
        <w:pStyle w:val="ListParagraph"/>
        <w:numPr>
          <w:ilvl w:val="0"/>
          <w:numId w:val="29"/>
        </w:numPr>
        <w:spacing w:before="240" w:after="0" w:line="240" w:lineRule="auto"/>
        <w:ind w:left="1232" w:hanging="381"/>
        <w:jc w:val="both"/>
        <w:rPr>
          <w:rFonts w:ascii="Arial" w:hAnsi="Arial" w:cs="Arial"/>
        </w:rPr>
      </w:pPr>
      <w:r>
        <w:rPr>
          <w:rFonts w:ascii="Arial" w:hAnsi="Arial" w:cs="Arial"/>
        </w:rPr>
        <w:t>A</w:t>
      </w:r>
      <w:r w:rsidRPr="006D3FEF">
        <w:rPr>
          <w:rFonts w:ascii="Arial" w:hAnsi="Arial" w:cs="Arial"/>
        </w:rPr>
        <w:t>ssumptions and judgment made in the</w:t>
      </w:r>
      <w:r>
        <w:rPr>
          <w:rFonts w:ascii="Arial" w:hAnsi="Arial" w:cs="Arial"/>
        </w:rPr>
        <w:t xml:space="preserve"> process of</w:t>
      </w:r>
      <w:r w:rsidRPr="006D3FEF">
        <w:rPr>
          <w:rFonts w:ascii="Arial" w:hAnsi="Arial" w:cs="Arial"/>
        </w:rPr>
        <w:t xml:space="preserve"> </w:t>
      </w:r>
      <w:r>
        <w:rPr>
          <w:rFonts w:ascii="Arial" w:hAnsi="Arial" w:cs="Arial"/>
        </w:rPr>
        <w:t>determining</w:t>
      </w:r>
      <w:r w:rsidRPr="00367E6D">
        <w:rPr>
          <w:rFonts w:ascii="Arial" w:hAnsi="Arial" w:cs="Arial"/>
        </w:rPr>
        <w:t xml:space="preserve"> </w:t>
      </w:r>
      <w:r>
        <w:rPr>
          <w:rFonts w:ascii="Arial" w:hAnsi="Arial" w:cs="Arial"/>
        </w:rPr>
        <w:t>arm’s length prices or profits</w:t>
      </w:r>
      <w:r w:rsidRPr="006D3FEF">
        <w:rPr>
          <w:rFonts w:ascii="Arial" w:hAnsi="Arial" w:cs="Arial"/>
        </w:rPr>
        <w:t>.</w:t>
      </w:r>
    </w:p>
    <w:p w:rsidR="005B19D8" w:rsidRPr="003911F0" w:rsidRDefault="005B19D8" w:rsidP="004132A5">
      <w:pPr>
        <w:pStyle w:val="ListParagraph"/>
        <w:ind w:left="1232"/>
        <w:rPr>
          <w:rFonts w:ascii="Arial" w:hAnsi="Arial" w:cs="Arial"/>
        </w:rPr>
      </w:pPr>
    </w:p>
    <w:p w:rsidR="005B19D8" w:rsidRPr="003911F0" w:rsidRDefault="005B19D8" w:rsidP="00EC42C0">
      <w:pPr>
        <w:pStyle w:val="ListParagraph"/>
        <w:numPr>
          <w:ilvl w:val="0"/>
          <w:numId w:val="29"/>
        </w:numPr>
        <w:spacing w:before="240" w:after="0" w:line="240" w:lineRule="auto"/>
        <w:ind w:left="1232" w:hanging="381"/>
        <w:jc w:val="both"/>
        <w:rPr>
          <w:rFonts w:ascii="Arial" w:hAnsi="Arial" w:cs="Arial"/>
          <w:sz w:val="24"/>
          <w:szCs w:val="24"/>
        </w:rPr>
      </w:pPr>
      <w:r>
        <w:rPr>
          <w:rFonts w:ascii="Arial" w:hAnsi="Arial" w:cs="Arial"/>
        </w:rPr>
        <w:lastRenderedPageBreak/>
        <w:t>A</w:t>
      </w:r>
      <w:r w:rsidRPr="003911F0">
        <w:rPr>
          <w:rFonts w:ascii="Arial" w:hAnsi="Arial" w:cs="Arial"/>
        </w:rPr>
        <w:t>pplication of reasonable transfer pricing method and result from comparability analysis</w:t>
      </w:r>
      <w:r>
        <w:rPr>
          <w:rFonts w:ascii="Arial" w:hAnsi="Arial" w:cs="Arial"/>
        </w:rPr>
        <w:t xml:space="preserve"> to determine the arm’s length prices or profits. </w:t>
      </w:r>
    </w:p>
    <w:p w:rsidR="005B19D8" w:rsidRPr="003911F0" w:rsidRDefault="005B19D8" w:rsidP="004132A5">
      <w:pPr>
        <w:pStyle w:val="ListParagraph"/>
        <w:spacing w:before="240" w:after="0" w:line="240" w:lineRule="auto"/>
        <w:ind w:left="1232"/>
        <w:jc w:val="both"/>
        <w:rPr>
          <w:rFonts w:ascii="Arial" w:hAnsi="Arial" w:cs="Arial"/>
          <w:sz w:val="24"/>
          <w:szCs w:val="24"/>
        </w:rPr>
      </w:pPr>
    </w:p>
    <w:p w:rsidR="005B19D8" w:rsidRPr="003911F0" w:rsidRDefault="005B19D8" w:rsidP="00EC42C0">
      <w:pPr>
        <w:pStyle w:val="ListParagraph"/>
        <w:numPr>
          <w:ilvl w:val="0"/>
          <w:numId w:val="29"/>
        </w:numPr>
        <w:spacing w:before="240" w:after="0" w:line="240" w:lineRule="auto"/>
        <w:ind w:left="1232" w:hanging="381"/>
        <w:jc w:val="both"/>
        <w:rPr>
          <w:rFonts w:ascii="Arial" w:hAnsi="Arial" w:cs="Arial"/>
          <w:sz w:val="24"/>
          <w:szCs w:val="24"/>
        </w:rPr>
      </w:pPr>
      <w:r w:rsidRPr="003911F0">
        <w:rPr>
          <w:rFonts w:ascii="Arial" w:hAnsi="Arial" w:cs="Arial"/>
        </w:rPr>
        <w:t xml:space="preserve">Other information supporting the </w:t>
      </w:r>
      <w:r>
        <w:rPr>
          <w:rFonts w:ascii="Arial" w:hAnsi="Arial" w:cs="Arial"/>
        </w:rPr>
        <w:t>selection</w:t>
      </w:r>
      <w:r w:rsidRPr="003911F0">
        <w:rPr>
          <w:rFonts w:ascii="Arial" w:hAnsi="Arial" w:cs="Arial"/>
        </w:rPr>
        <w:t xml:space="preserve"> of transfer pricing method.</w:t>
      </w:r>
    </w:p>
    <w:p w:rsidR="005B19D8" w:rsidRPr="003911F0" w:rsidRDefault="005B19D8" w:rsidP="004132A5">
      <w:pPr>
        <w:pStyle w:val="ListParagraph"/>
        <w:ind w:left="1232"/>
        <w:rPr>
          <w:rFonts w:ascii="Arial" w:hAnsi="Arial" w:cs="Arial"/>
          <w:sz w:val="24"/>
          <w:szCs w:val="24"/>
        </w:rPr>
      </w:pPr>
    </w:p>
    <w:p w:rsidR="005B19D8" w:rsidRDefault="005B19D8" w:rsidP="00EC42C0">
      <w:pPr>
        <w:pStyle w:val="ListParagraph"/>
        <w:numPr>
          <w:ilvl w:val="0"/>
          <w:numId w:val="29"/>
        </w:numPr>
        <w:spacing w:before="240" w:after="0" w:line="240" w:lineRule="auto"/>
        <w:ind w:left="1232" w:hanging="381"/>
        <w:jc w:val="both"/>
        <w:rPr>
          <w:rFonts w:ascii="Arial" w:hAnsi="Arial" w:cs="Arial"/>
        </w:rPr>
      </w:pPr>
      <w:r w:rsidRPr="00C66B9C">
        <w:rPr>
          <w:rFonts w:ascii="Arial" w:hAnsi="Arial" w:cs="Arial"/>
        </w:rPr>
        <w:t>Analysis and conclusion of whether the transfer pricing for the r</w:t>
      </w:r>
      <w:r>
        <w:rPr>
          <w:rFonts w:ascii="Arial" w:hAnsi="Arial" w:cs="Arial"/>
        </w:rPr>
        <w:t>elated party transactions complis</w:t>
      </w:r>
      <w:r w:rsidRPr="00C66B9C">
        <w:rPr>
          <w:rFonts w:ascii="Arial" w:hAnsi="Arial" w:cs="Arial"/>
        </w:rPr>
        <w:t xml:space="preserve"> with the arm’s length principle.</w:t>
      </w:r>
    </w:p>
    <w:p w:rsidR="005B19D8"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S</w:t>
      </w:r>
      <w:r w:rsidRPr="001F0E2D">
        <w:rPr>
          <w:rFonts w:ascii="Arial" w:hAnsi="Arial" w:cs="Arial"/>
        </w:rPr>
        <w:t>pecial issue file</w:t>
      </w:r>
      <w:r>
        <w:rPr>
          <w:rFonts w:ascii="Arial" w:hAnsi="Arial" w:cs="Arial"/>
        </w:rPr>
        <w:t>s</w:t>
      </w:r>
      <w:r w:rsidRPr="001F0E2D">
        <w:rPr>
          <w:rFonts w:ascii="Arial" w:hAnsi="Arial" w:cs="Arial"/>
        </w:rPr>
        <w:t xml:space="preserve"> include special issue file on cost sharing agreements and special issue file on thin capitalisation. </w:t>
      </w:r>
    </w:p>
    <w:p w:rsidR="005B19D8" w:rsidRDefault="005B19D8" w:rsidP="004132A5">
      <w:pPr>
        <w:pStyle w:val="ListParagraph"/>
        <w:ind w:left="426"/>
        <w:jc w:val="both"/>
        <w:rPr>
          <w:rFonts w:ascii="Arial" w:hAnsi="Arial" w:cs="Arial"/>
        </w:rPr>
      </w:pPr>
    </w:p>
    <w:p w:rsidR="005B19D8" w:rsidRDefault="005B19D8" w:rsidP="004132A5">
      <w:pPr>
        <w:pStyle w:val="ListParagraph"/>
        <w:ind w:left="426"/>
        <w:jc w:val="both"/>
        <w:rPr>
          <w:rFonts w:ascii="Arial" w:hAnsi="Arial" w:cs="Arial"/>
        </w:rPr>
      </w:pPr>
      <w:r>
        <w:rPr>
          <w:rFonts w:ascii="Arial" w:hAnsi="Arial" w:cs="Arial"/>
        </w:rPr>
        <w:t xml:space="preserve">An enterprise that enters into or implements a </w:t>
      </w:r>
      <w:r w:rsidRPr="00AB043F">
        <w:rPr>
          <w:rFonts w:ascii="Arial" w:hAnsi="Arial" w:cs="Arial"/>
        </w:rPr>
        <w:t>cost sharing agreement</w:t>
      </w:r>
      <w:r>
        <w:rPr>
          <w:rFonts w:ascii="Arial" w:hAnsi="Arial" w:cs="Arial"/>
        </w:rPr>
        <w:t xml:space="preserve"> (hereafter referred to as “CSA”)</w:t>
      </w:r>
      <w:r w:rsidRPr="00AB043F">
        <w:rPr>
          <w:rFonts w:ascii="Arial" w:hAnsi="Arial" w:cs="Arial"/>
        </w:rPr>
        <w:t xml:space="preserve"> shall prepare </w:t>
      </w:r>
      <w:r>
        <w:rPr>
          <w:rFonts w:ascii="Arial" w:hAnsi="Arial" w:cs="Arial"/>
        </w:rPr>
        <w:t xml:space="preserve">a </w:t>
      </w:r>
      <w:r w:rsidRPr="00AB043F">
        <w:rPr>
          <w:rFonts w:ascii="Arial" w:hAnsi="Arial" w:cs="Arial"/>
        </w:rPr>
        <w:t xml:space="preserve">special issue file </w:t>
      </w:r>
      <w:r>
        <w:rPr>
          <w:rFonts w:ascii="Arial" w:hAnsi="Arial" w:cs="Arial"/>
        </w:rPr>
        <w:t>for the</w:t>
      </w:r>
      <w:r w:rsidRPr="00AB043F">
        <w:rPr>
          <w:rFonts w:ascii="Arial" w:hAnsi="Arial" w:cs="Arial"/>
        </w:rPr>
        <w:t xml:space="preserve"> </w:t>
      </w:r>
      <w:r>
        <w:rPr>
          <w:rFonts w:ascii="Arial" w:hAnsi="Arial" w:cs="Arial"/>
        </w:rPr>
        <w:t>CSA</w:t>
      </w:r>
      <w:r w:rsidRPr="00AB043F">
        <w:rPr>
          <w:rFonts w:ascii="Arial" w:hAnsi="Arial" w:cs="Arial"/>
        </w:rPr>
        <w:t>.</w:t>
      </w:r>
    </w:p>
    <w:p w:rsidR="005B19D8" w:rsidRDefault="005B19D8" w:rsidP="004132A5">
      <w:pPr>
        <w:pStyle w:val="ListParagraph"/>
        <w:ind w:left="426"/>
        <w:jc w:val="both"/>
        <w:rPr>
          <w:rFonts w:ascii="Arial" w:hAnsi="Arial" w:cs="Arial"/>
        </w:rPr>
      </w:pPr>
    </w:p>
    <w:p w:rsidR="005B19D8" w:rsidRDefault="005B19D8" w:rsidP="004132A5">
      <w:pPr>
        <w:pStyle w:val="ListParagraph"/>
        <w:ind w:left="426"/>
        <w:jc w:val="both"/>
        <w:rPr>
          <w:rFonts w:ascii="Arial" w:hAnsi="Arial" w:cs="Arial"/>
        </w:rPr>
      </w:pPr>
      <w:r>
        <w:rPr>
          <w:rFonts w:ascii="Arial" w:hAnsi="Arial" w:cs="Arial"/>
        </w:rPr>
        <w:t>An enterprise with a related party debt-to-equity ratio exceeding the threshold shall prepare a special issue file on thin capitalisation to demonstrate its conformity with</w:t>
      </w:r>
      <w:r w:rsidRPr="00C66B9C">
        <w:rPr>
          <w:rFonts w:ascii="Arial" w:hAnsi="Arial" w:cs="Arial"/>
        </w:rPr>
        <w:t xml:space="preserve"> the arm’s length principle</w:t>
      </w:r>
      <w:r>
        <w:rPr>
          <w:rFonts w:ascii="Arial" w:hAnsi="Arial" w:cs="Arial"/>
        </w:rPr>
        <w:t xml:space="preserve">. </w:t>
      </w:r>
    </w:p>
    <w:p w:rsidR="005B19D8" w:rsidRPr="001F0E2D"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S</w:t>
      </w:r>
      <w:r w:rsidRPr="00672B3A">
        <w:rPr>
          <w:rFonts w:ascii="Arial" w:hAnsi="Arial" w:cs="Arial"/>
        </w:rPr>
        <w:t>pecial</w:t>
      </w:r>
      <w:r>
        <w:rPr>
          <w:rFonts w:ascii="Arial" w:hAnsi="Arial" w:cs="Arial"/>
        </w:rPr>
        <w:t xml:space="preserve"> issue</w:t>
      </w:r>
      <w:r w:rsidRPr="009A21E0">
        <w:rPr>
          <w:rFonts w:ascii="Arial" w:hAnsi="Arial" w:cs="Arial"/>
        </w:rPr>
        <w:t xml:space="preserve"> file </w:t>
      </w:r>
      <w:r>
        <w:rPr>
          <w:rFonts w:ascii="Arial" w:hAnsi="Arial" w:cs="Arial"/>
        </w:rPr>
        <w:t>on CSAs</w:t>
      </w:r>
      <w:r w:rsidRPr="009A21E0">
        <w:rPr>
          <w:rFonts w:ascii="Arial" w:hAnsi="Arial" w:cs="Arial"/>
        </w:rPr>
        <w:t xml:space="preserve"> shall </w:t>
      </w:r>
      <w:r>
        <w:rPr>
          <w:rFonts w:ascii="Arial" w:hAnsi="Arial" w:cs="Arial"/>
        </w:rPr>
        <w:t>include</w:t>
      </w:r>
      <w:r w:rsidRPr="009A21E0">
        <w:rPr>
          <w:rFonts w:ascii="Arial" w:hAnsi="Arial" w:cs="Arial"/>
        </w:rPr>
        <w:t xml:space="preserve"> the following</w:t>
      </w:r>
      <w:r>
        <w:rPr>
          <w:rFonts w:ascii="Arial" w:hAnsi="Arial" w:cs="Arial"/>
        </w:rPr>
        <w:t xml:space="preserve"> information</w:t>
      </w:r>
      <w:r w:rsidRPr="009A21E0">
        <w:rPr>
          <w:rFonts w:ascii="Arial" w:hAnsi="Arial" w:cs="Arial"/>
        </w:rPr>
        <w:t>:</w:t>
      </w:r>
    </w:p>
    <w:p w:rsidR="005B19D8" w:rsidRPr="009A21E0" w:rsidRDefault="005B19D8" w:rsidP="004132A5">
      <w:pPr>
        <w:pStyle w:val="ListParagraph"/>
        <w:ind w:left="426"/>
        <w:jc w:val="both"/>
        <w:rPr>
          <w:rFonts w:ascii="Arial" w:hAnsi="Arial" w:cs="Arial"/>
        </w:rPr>
      </w:pPr>
    </w:p>
    <w:p w:rsidR="005B19D8" w:rsidRDefault="005B19D8" w:rsidP="00EC42C0">
      <w:pPr>
        <w:pStyle w:val="ListParagraph"/>
        <w:numPr>
          <w:ilvl w:val="0"/>
          <w:numId w:val="13"/>
        </w:numPr>
        <w:tabs>
          <w:tab w:val="clear" w:pos="720"/>
        </w:tabs>
        <w:spacing w:before="240" w:after="0" w:line="240" w:lineRule="auto"/>
        <w:ind w:left="851" w:hanging="425"/>
        <w:jc w:val="both"/>
        <w:rPr>
          <w:rFonts w:ascii="Arial" w:hAnsi="Arial" w:cs="Arial"/>
        </w:rPr>
      </w:pPr>
      <w:r>
        <w:rPr>
          <w:rFonts w:ascii="Arial" w:hAnsi="Arial" w:cs="Arial"/>
        </w:rPr>
        <w:t>A c</w:t>
      </w:r>
      <w:r w:rsidRPr="00672B3A">
        <w:rPr>
          <w:rFonts w:ascii="Arial" w:hAnsi="Arial" w:cs="Arial"/>
        </w:rPr>
        <w:t xml:space="preserve">opy of the </w:t>
      </w:r>
      <w:r>
        <w:rPr>
          <w:rFonts w:ascii="Arial" w:hAnsi="Arial" w:cs="Arial"/>
        </w:rPr>
        <w:t>CSA</w:t>
      </w:r>
      <w:r w:rsidRPr="00672B3A">
        <w:rPr>
          <w:rFonts w:ascii="Arial" w:hAnsi="Arial" w:cs="Arial"/>
        </w:rPr>
        <w:t>.</w:t>
      </w:r>
    </w:p>
    <w:p w:rsidR="005B19D8"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13"/>
        </w:numPr>
        <w:tabs>
          <w:tab w:val="clear" w:pos="720"/>
        </w:tabs>
        <w:spacing w:before="240" w:after="0" w:line="240" w:lineRule="auto"/>
        <w:ind w:left="851" w:hanging="425"/>
        <w:jc w:val="both"/>
        <w:rPr>
          <w:rFonts w:ascii="Arial" w:hAnsi="Arial" w:cs="Arial"/>
        </w:rPr>
      </w:pPr>
      <w:r w:rsidRPr="00672B3A">
        <w:rPr>
          <w:rFonts w:ascii="Arial" w:hAnsi="Arial" w:cs="Arial"/>
        </w:rPr>
        <w:t xml:space="preserve">Other agreements </w:t>
      </w:r>
      <w:r>
        <w:rPr>
          <w:rFonts w:ascii="Arial" w:hAnsi="Arial" w:cs="Arial"/>
        </w:rPr>
        <w:t>reached by</w:t>
      </w:r>
      <w:r w:rsidRPr="00672B3A">
        <w:rPr>
          <w:rFonts w:ascii="Arial" w:hAnsi="Arial" w:cs="Arial"/>
        </w:rPr>
        <w:t xml:space="preserve"> </w:t>
      </w:r>
      <w:r>
        <w:rPr>
          <w:rFonts w:ascii="Arial" w:hAnsi="Arial" w:cs="Arial"/>
        </w:rPr>
        <w:t xml:space="preserve">the CSA </w:t>
      </w:r>
      <w:r w:rsidRPr="00672B3A">
        <w:rPr>
          <w:rFonts w:ascii="Arial" w:hAnsi="Arial" w:cs="Arial"/>
        </w:rPr>
        <w:t xml:space="preserve">participants </w:t>
      </w:r>
      <w:r>
        <w:rPr>
          <w:rFonts w:ascii="Arial" w:hAnsi="Arial" w:cs="Arial"/>
        </w:rPr>
        <w:t>to facilitate</w:t>
      </w:r>
      <w:r w:rsidRPr="00672B3A">
        <w:rPr>
          <w:rFonts w:ascii="Arial" w:hAnsi="Arial" w:cs="Arial"/>
        </w:rPr>
        <w:t xml:space="preserve"> the implementation of the </w:t>
      </w:r>
      <w:r>
        <w:rPr>
          <w:rFonts w:ascii="Arial" w:hAnsi="Arial" w:cs="Arial"/>
        </w:rPr>
        <w:t>CSA</w:t>
      </w:r>
      <w:r w:rsidRPr="00672B3A">
        <w:rPr>
          <w:rFonts w:ascii="Arial" w:hAnsi="Arial" w:cs="Arial"/>
        </w:rPr>
        <w:t>.</w:t>
      </w:r>
    </w:p>
    <w:p w:rsidR="005B19D8" w:rsidRPr="00672B3A" w:rsidRDefault="005B19D8" w:rsidP="004132A5">
      <w:pPr>
        <w:pStyle w:val="ListParagraph"/>
        <w:rPr>
          <w:rFonts w:ascii="Arial" w:hAnsi="Arial" w:cs="Arial"/>
        </w:rPr>
      </w:pPr>
    </w:p>
    <w:p w:rsidR="005B19D8" w:rsidRDefault="005B19D8" w:rsidP="00EC42C0">
      <w:pPr>
        <w:pStyle w:val="ListParagraph"/>
        <w:numPr>
          <w:ilvl w:val="0"/>
          <w:numId w:val="13"/>
        </w:numPr>
        <w:tabs>
          <w:tab w:val="clear" w:pos="720"/>
        </w:tabs>
        <w:spacing w:before="240" w:after="0" w:line="240" w:lineRule="auto"/>
        <w:ind w:left="851" w:hanging="425"/>
        <w:jc w:val="both"/>
        <w:rPr>
          <w:rFonts w:ascii="Arial" w:hAnsi="Arial" w:cs="Arial"/>
        </w:rPr>
      </w:pPr>
      <w:r w:rsidRPr="00672B3A">
        <w:rPr>
          <w:rFonts w:ascii="Arial" w:hAnsi="Arial" w:cs="Arial"/>
        </w:rPr>
        <w:t xml:space="preserve">Use of </w:t>
      </w:r>
      <w:r>
        <w:rPr>
          <w:rFonts w:ascii="Arial" w:hAnsi="Arial" w:cs="Arial"/>
        </w:rPr>
        <w:t xml:space="preserve">outcomes of </w:t>
      </w:r>
      <w:r w:rsidRPr="00672B3A">
        <w:rPr>
          <w:rFonts w:ascii="Arial" w:hAnsi="Arial" w:cs="Arial"/>
        </w:rPr>
        <w:t xml:space="preserve">the </w:t>
      </w:r>
      <w:r>
        <w:rPr>
          <w:rFonts w:ascii="Arial" w:hAnsi="Arial" w:cs="Arial"/>
        </w:rPr>
        <w:t>CSA</w:t>
      </w:r>
      <w:r w:rsidRPr="00672B3A">
        <w:rPr>
          <w:rFonts w:ascii="Arial" w:hAnsi="Arial" w:cs="Arial"/>
        </w:rPr>
        <w:t xml:space="preserve"> by non-participants, amount </w:t>
      </w:r>
      <w:r>
        <w:rPr>
          <w:rFonts w:ascii="Arial" w:hAnsi="Arial" w:cs="Arial"/>
        </w:rPr>
        <w:t xml:space="preserve">paid </w:t>
      </w:r>
      <w:r w:rsidRPr="00672B3A">
        <w:rPr>
          <w:rFonts w:ascii="Arial" w:hAnsi="Arial" w:cs="Arial"/>
        </w:rPr>
        <w:t xml:space="preserve">and form of payment, </w:t>
      </w:r>
      <w:r>
        <w:rPr>
          <w:rFonts w:ascii="Arial" w:hAnsi="Arial" w:cs="Arial"/>
        </w:rPr>
        <w:t>as well as</w:t>
      </w:r>
      <w:r w:rsidRPr="00672B3A">
        <w:rPr>
          <w:rFonts w:ascii="Arial" w:hAnsi="Arial" w:cs="Arial"/>
        </w:rPr>
        <w:t xml:space="preserve"> </w:t>
      </w:r>
      <w:r>
        <w:rPr>
          <w:rFonts w:ascii="Arial" w:hAnsi="Arial" w:cs="Arial"/>
        </w:rPr>
        <w:t xml:space="preserve">the </w:t>
      </w:r>
      <w:r w:rsidRPr="00672B3A">
        <w:rPr>
          <w:rFonts w:ascii="Arial" w:hAnsi="Arial" w:cs="Arial"/>
        </w:rPr>
        <w:t xml:space="preserve">allocation method </w:t>
      </w:r>
      <w:r>
        <w:rPr>
          <w:rFonts w:ascii="Arial" w:hAnsi="Arial" w:cs="Arial"/>
        </w:rPr>
        <w:t xml:space="preserve">for sharing the </w:t>
      </w:r>
      <w:r w:rsidRPr="00672B3A">
        <w:rPr>
          <w:rFonts w:ascii="Arial" w:hAnsi="Arial" w:cs="Arial"/>
        </w:rPr>
        <w:t>payment among the participants.</w:t>
      </w:r>
    </w:p>
    <w:p w:rsidR="005B19D8" w:rsidRPr="00672B3A" w:rsidRDefault="005B19D8" w:rsidP="004132A5">
      <w:pPr>
        <w:pStyle w:val="ListParagraph"/>
        <w:rPr>
          <w:rFonts w:ascii="Arial" w:hAnsi="Arial" w:cs="Arial"/>
        </w:rPr>
      </w:pPr>
    </w:p>
    <w:p w:rsidR="005B19D8" w:rsidRDefault="005B19D8" w:rsidP="00EC42C0">
      <w:pPr>
        <w:pStyle w:val="ListParagraph"/>
        <w:numPr>
          <w:ilvl w:val="0"/>
          <w:numId w:val="13"/>
        </w:numPr>
        <w:tabs>
          <w:tab w:val="clear" w:pos="720"/>
        </w:tabs>
        <w:spacing w:before="240" w:after="0" w:line="240" w:lineRule="auto"/>
        <w:ind w:left="851" w:hanging="425"/>
        <w:jc w:val="both"/>
        <w:rPr>
          <w:rFonts w:ascii="Arial" w:hAnsi="Arial" w:cs="Arial"/>
        </w:rPr>
      </w:pPr>
      <w:r>
        <w:rPr>
          <w:rFonts w:ascii="Arial" w:hAnsi="Arial" w:cs="Arial"/>
        </w:rPr>
        <w:t>Information on any participants entering in or withdrawing from the CSA during the fiscal year concerned,</w:t>
      </w:r>
      <w:r w:rsidRPr="00672B3A">
        <w:rPr>
          <w:rFonts w:ascii="Arial" w:hAnsi="Arial" w:cs="Arial"/>
        </w:rPr>
        <w:t xml:space="preserve"> including the names of </w:t>
      </w:r>
      <w:r>
        <w:rPr>
          <w:rFonts w:ascii="Arial" w:hAnsi="Arial" w:cs="Arial"/>
        </w:rPr>
        <w:t xml:space="preserve">the </w:t>
      </w:r>
      <w:r w:rsidRPr="00672B3A">
        <w:rPr>
          <w:rFonts w:ascii="Arial" w:hAnsi="Arial" w:cs="Arial"/>
        </w:rPr>
        <w:t>participants</w:t>
      </w:r>
      <w:r>
        <w:rPr>
          <w:rFonts w:ascii="Arial" w:hAnsi="Arial" w:cs="Arial"/>
        </w:rPr>
        <w:t xml:space="preserve">, their countries of residence and </w:t>
      </w:r>
      <w:r w:rsidRPr="00672B3A">
        <w:rPr>
          <w:rFonts w:ascii="Arial" w:hAnsi="Arial" w:cs="Arial"/>
        </w:rPr>
        <w:t xml:space="preserve">related party relationships, and the amount and form of </w:t>
      </w:r>
      <w:r>
        <w:rPr>
          <w:rFonts w:ascii="Arial" w:hAnsi="Arial" w:cs="Arial"/>
        </w:rPr>
        <w:t xml:space="preserve">payment for </w:t>
      </w:r>
      <w:r w:rsidRPr="00672B3A">
        <w:rPr>
          <w:rFonts w:ascii="Arial" w:hAnsi="Arial" w:cs="Arial"/>
        </w:rPr>
        <w:t xml:space="preserve">the buy-in </w:t>
      </w:r>
      <w:r>
        <w:rPr>
          <w:rFonts w:ascii="Arial" w:hAnsi="Arial" w:cs="Arial"/>
        </w:rPr>
        <w:t>or</w:t>
      </w:r>
      <w:r w:rsidRPr="00672B3A">
        <w:rPr>
          <w:rFonts w:ascii="Arial" w:hAnsi="Arial" w:cs="Arial"/>
        </w:rPr>
        <w:t xml:space="preserve"> buy-out </w:t>
      </w:r>
      <w:r>
        <w:rPr>
          <w:rFonts w:ascii="Arial" w:hAnsi="Arial" w:cs="Arial"/>
        </w:rPr>
        <w:t>compensations</w:t>
      </w:r>
      <w:r w:rsidRPr="00672B3A">
        <w:rPr>
          <w:rFonts w:ascii="Arial" w:hAnsi="Arial" w:cs="Arial"/>
        </w:rPr>
        <w:t>.</w:t>
      </w:r>
    </w:p>
    <w:p w:rsidR="005B19D8" w:rsidRPr="00672B3A" w:rsidRDefault="005B19D8" w:rsidP="004132A5">
      <w:pPr>
        <w:pStyle w:val="ListParagraph"/>
        <w:rPr>
          <w:rFonts w:ascii="Arial" w:hAnsi="Arial" w:cs="Arial"/>
        </w:rPr>
      </w:pPr>
    </w:p>
    <w:p w:rsidR="005B19D8" w:rsidRDefault="005B19D8" w:rsidP="00EC42C0">
      <w:pPr>
        <w:pStyle w:val="ListParagraph"/>
        <w:numPr>
          <w:ilvl w:val="0"/>
          <w:numId w:val="13"/>
        </w:numPr>
        <w:tabs>
          <w:tab w:val="clear" w:pos="720"/>
        </w:tabs>
        <w:spacing w:before="240" w:after="0" w:line="240" w:lineRule="auto"/>
        <w:ind w:left="851" w:hanging="425"/>
        <w:jc w:val="both"/>
        <w:rPr>
          <w:rFonts w:ascii="Arial" w:hAnsi="Arial" w:cs="Arial"/>
        </w:rPr>
      </w:pPr>
      <w:r>
        <w:rPr>
          <w:rFonts w:ascii="Arial" w:hAnsi="Arial" w:cs="Arial"/>
        </w:rPr>
        <w:t>Description</w:t>
      </w:r>
      <w:r w:rsidRPr="00672B3A">
        <w:rPr>
          <w:rFonts w:ascii="Arial" w:hAnsi="Arial" w:cs="Arial"/>
        </w:rPr>
        <w:t xml:space="preserve"> of amendments to or termination of the </w:t>
      </w:r>
      <w:r>
        <w:rPr>
          <w:rFonts w:ascii="Arial" w:hAnsi="Arial" w:cs="Arial"/>
        </w:rPr>
        <w:t>CSA</w:t>
      </w:r>
      <w:r w:rsidRPr="00672B3A">
        <w:rPr>
          <w:rFonts w:ascii="Arial" w:hAnsi="Arial" w:cs="Arial"/>
        </w:rPr>
        <w:t xml:space="preserve">, including the reasons for </w:t>
      </w:r>
      <w:r>
        <w:rPr>
          <w:rFonts w:ascii="Arial" w:hAnsi="Arial" w:cs="Arial"/>
        </w:rPr>
        <w:t xml:space="preserve">the </w:t>
      </w:r>
      <w:r w:rsidRPr="00672B3A">
        <w:rPr>
          <w:rFonts w:ascii="Arial" w:hAnsi="Arial" w:cs="Arial"/>
        </w:rPr>
        <w:t xml:space="preserve">amendments or termination, and the treatment or allocation of </w:t>
      </w:r>
      <w:r>
        <w:rPr>
          <w:rFonts w:ascii="Arial" w:hAnsi="Arial" w:cs="Arial"/>
        </w:rPr>
        <w:t>the existing CSA outcomes</w:t>
      </w:r>
      <w:r w:rsidRPr="00672B3A">
        <w:rPr>
          <w:rFonts w:ascii="Arial" w:hAnsi="Arial" w:cs="Arial"/>
        </w:rPr>
        <w:t>.</w:t>
      </w:r>
    </w:p>
    <w:p w:rsidR="005B19D8" w:rsidRPr="00672B3A" w:rsidRDefault="005B19D8" w:rsidP="004132A5">
      <w:pPr>
        <w:pStyle w:val="ListParagraph"/>
        <w:rPr>
          <w:rFonts w:ascii="Arial" w:hAnsi="Arial" w:cs="Arial"/>
        </w:rPr>
      </w:pPr>
    </w:p>
    <w:p w:rsidR="005B19D8" w:rsidRDefault="005B19D8" w:rsidP="00EC42C0">
      <w:pPr>
        <w:pStyle w:val="ListParagraph"/>
        <w:numPr>
          <w:ilvl w:val="0"/>
          <w:numId w:val="13"/>
        </w:numPr>
        <w:tabs>
          <w:tab w:val="clear" w:pos="720"/>
        </w:tabs>
        <w:spacing w:before="240" w:after="0" w:line="240" w:lineRule="auto"/>
        <w:ind w:left="851" w:hanging="425"/>
        <w:jc w:val="both"/>
        <w:rPr>
          <w:rFonts w:ascii="Arial" w:hAnsi="Arial" w:cs="Arial"/>
        </w:rPr>
      </w:pPr>
      <w:r w:rsidRPr="00672B3A">
        <w:rPr>
          <w:rFonts w:ascii="Arial" w:hAnsi="Arial" w:cs="Arial"/>
        </w:rPr>
        <w:t xml:space="preserve">Total cost </w:t>
      </w:r>
      <w:r>
        <w:rPr>
          <w:rFonts w:ascii="Arial" w:hAnsi="Arial" w:cs="Arial"/>
        </w:rPr>
        <w:t>from</w:t>
      </w:r>
      <w:r w:rsidRPr="00672B3A">
        <w:rPr>
          <w:rFonts w:ascii="Arial" w:hAnsi="Arial" w:cs="Arial"/>
        </w:rPr>
        <w:t xml:space="preserve"> the </w:t>
      </w:r>
      <w:r>
        <w:rPr>
          <w:rFonts w:ascii="Arial" w:hAnsi="Arial" w:cs="Arial"/>
        </w:rPr>
        <w:t>CSA and its breakdown</w:t>
      </w:r>
      <w:r w:rsidRPr="00672B3A">
        <w:rPr>
          <w:rFonts w:ascii="Arial" w:hAnsi="Arial" w:cs="Arial"/>
        </w:rPr>
        <w:t xml:space="preserve"> during the </w:t>
      </w:r>
      <w:r>
        <w:rPr>
          <w:rFonts w:ascii="Arial" w:hAnsi="Arial" w:cs="Arial"/>
        </w:rPr>
        <w:t xml:space="preserve">fiscal </w:t>
      </w:r>
      <w:r w:rsidRPr="00672B3A">
        <w:rPr>
          <w:rFonts w:ascii="Arial" w:hAnsi="Arial" w:cs="Arial"/>
        </w:rPr>
        <w:t>year</w:t>
      </w:r>
      <w:r>
        <w:rPr>
          <w:rFonts w:ascii="Arial" w:hAnsi="Arial" w:cs="Arial"/>
        </w:rPr>
        <w:t xml:space="preserve"> concerned</w:t>
      </w:r>
      <w:r w:rsidRPr="00672B3A">
        <w:rPr>
          <w:rFonts w:ascii="Arial" w:hAnsi="Arial" w:cs="Arial"/>
        </w:rPr>
        <w:t>.</w:t>
      </w:r>
    </w:p>
    <w:p w:rsidR="005B19D8" w:rsidRPr="00672B3A" w:rsidRDefault="005B19D8" w:rsidP="004132A5">
      <w:pPr>
        <w:pStyle w:val="ListParagraph"/>
        <w:rPr>
          <w:rFonts w:ascii="Arial" w:hAnsi="Arial" w:cs="Arial"/>
        </w:rPr>
      </w:pPr>
    </w:p>
    <w:p w:rsidR="005B19D8" w:rsidRDefault="005B19D8" w:rsidP="00EC42C0">
      <w:pPr>
        <w:pStyle w:val="ListParagraph"/>
        <w:numPr>
          <w:ilvl w:val="0"/>
          <w:numId w:val="13"/>
        </w:numPr>
        <w:tabs>
          <w:tab w:val="clear" w:pos="720"/>
        </w:tabs>
        <w:spacing w:before="240" w:after="0" w:line="240" w:lineRule="auto"/>
        <w:ind w:left="851" w:hanging="425"/>
        <w:jc w:val="both"/>
        <w:rPr>
          <w:rFonts w:ascii="Arial" w:hAnsi="Arial" w:cs="Arial"/>
        </w:rPr>
      </w:pPr>
      <w:r w:rsidRPr="00672B3A">
        <w:rPr>
          <w:rFonts w:ascii="Arial" w:hAnsi="Arial" w:cs="Arial"/>
        </w:rPr>
        <w:t xml:space="preserve">Cost </w:t>
      </w:r>
      <w:r>
        <w:rPr>
          <w:rFonts w:ascii="Arial" w:hAnsi="Arial" w:cs="Arial"/>
        </w:rPr>
        <w:t>sharing</w:t>
      </w:r>
      <w:r w:rsidRPr="00672B3A">
        <w:rPr>
          <w:rFonts w:ascii="Arial" w:hAnsi="Arial" w:cs="Arial"/>
        </w:rPr>
        <w:t xml:space="preserve"> among </w:t>
      </w:r>
      <w:r>
        <w:rPr>
          <w:rFonts w:ascii="Arial" w:hAnsi="Arial" w:cs="Arial"/>
        </w:rPr>
        <w:t xml:space="preserve">the CSA </w:t>
      </w:r>
      <w:r w:rsidRPr="00672B3A">
        <w:rPr>
          <w:rFonts w:ascii="Arial" w:hAnsi="Arial" w:cs="Arial"/>
        </w:rPr>
        <w:t xml:space="preserve">participants during the </w:t>
      </w:r>
      <w:r>
        <w:rPr>
          <w:rFonts w:ascii="Arial" w:hAnsi="Arial" w:cs="Arial"/>
        </w:rPr>
        <w:t xml:space="preserve">fiscal </w:t>
      </w:r>
      <w:r w:rsidRPr="00672B3A">
        <w:rPr>
          <w:rFonts w:ascii="Arial" w:hAnsi="Arial" w:cs="Arial"/>
        </w:rPr>
        <w:t>year</w:t>
      </w:r>
      <w:r>
        <w:rPr>
          <w:rFonts w:ascii="Arial" w:hAnsi="Arial" w:cs="Arial"/>
        </w:rPr>
        <w:t xml:space="preserve"> concerned</w:t>
      </w:r>
      <w:r w:rsidRPr="00672B3A">
        <w:rPr>
          <w:rFonts w:ascii="Arial" w:hAnsi="Arial" w:cs="Arial"/>
        </w:rPr>
        <w:t>, including the amount</w:t>
      </w:r>
      <w:r>
        <w:rPr>
          <w:rFonts w:ascii="Arial" w:hAnsi="Arial" w:cs="Arial"/>
        </w:rPr>
        <w:t xml:space="preserve">, form of payment and which parities the allocated costs are paid to; and </w:t>
      </w:r>
      <w:r w:rsidRPr="00672B3A">
        <w:rPr>
          <w:rFonts w:ascii="Arial" w:hAnsi="Arial" w:cs="Arial"/>
        </w:rPr>
        <w:t>the amount</w:t>
      </w:r>
      <w:r>
        <w:rPr>
          <w:rFonts w:ascii="Arial" w:hAnsi="Arial" w:cs="Arial"/>
        </w:rPr>
        <w:t>, form of payment, and which parties the balancing payments are paid to or received from</w:t>
      </w:r>
      <w:r w:rsidRPr="00672B3A">
        <w:rPr>
          <w:rFonts w:ascii="Arial" w:hAnsi="Arial" w:cs="Arial"/>
        </w:rPr>
        <w:t>.</w:t>
      </w:r>
    </w:p>
    <w:p w:rsidR="005B19D8" w:rsidRPr="00672B3A" w:rsidRDefault="005B19D8" w:rsidP="004132A5">
      <w:pPr>
        <w:pStyle w:val="ListParagraph"/>
        <w:rPr>
          <w:rFonts w:ascii="Arial" w:hAnsi="Arial" w:cs="Arial"/>
        </w:rPr>
      </w:pPr>
    </w:p>
    <w:p w:rsidR="005B19D8" w:rsidRDefault="005B19D8" w:rsidP="00EC42C0">
      <w:pPr>
        <w:pStyle w:val="ListParagraph"/>
        <w:numPr>
          <w:ilvl w:val="0"/>
          <w:numId w:val="13"/>
        </w:numPr>
        <w:tabs>
          <w:tab w:val="clear" w:pos="720"/>
        </w:tabs>
        <w:spacing w:before="240" w:after="0" w:line="240" w:lineRule="auto"/>
        <w:ind w:left="851" w:hanging="425"/>
        <w:jc w:val="both"/>
        <w:rPr>
          <w:rFonts w:ascii="Arial" w:hAnsi="Arial" w:cs="Arial"/>
        </w:rPr>
      </w:pPr>
      <w:r>
        <w:rPr>
          <w:rFonts w:ascii="Arial" w:hAnsi="Arial" w:cs="Arial"/>
        </w:rPr>
        <w:t>A comparison of expected benefits and actual</w:t>
      </w:r>
      <w:r w:rsidRPr="00672B3A">
        <w:rPr>
          <w:rFonts w:ascii="Arial" w:hAnsi="Arial" w:cs="Arial"/>
        </w:rPr>
        <w:t xml:space="preserve"> benefits </w:t>
      </w:r>
      <w:r>
        <w:rPr>
          <w:rFonts w:ascii="Arial" w:hAnsi="Arial" w:cs="Arial"/>
        </w:rPr>
        <w:t>from</w:t>
      </w:r>
      <w:r w:rsidRPr="00672B3A">
        <w:rPr>
          <w:rFonts w:ascii="Arial" w:hAnsi="Arial" w:cs="Arial"/>
        </w:rPr>
        <w:t xml:space="preserve"> the </w:t>
      </w:r>
      <w:r>
        <w:rPr>
          <w:rFonts w:ascii="Arial" w:hAnsi="Arial" w:cs="Arial"/>
        </w:rPr>
        <w:t>CSA</w:t>
      </w:r>
      <w:r w:rsidRPr="00672B3A">
        <w:rPr>
          <w:rFonts w:ascii="Arial" w:hAnsi="Arial" w:cs="Arial"/>
        </w:rPr>
        <w:t xml:space="preserve">, and the </w:t>
      </w:r>
      <w:r>
        <w:rPr>
          <w:rFonts w:ascii="Arial" w:hAnsi="Arial" w:cs="Arial"/>
        </w:rPr>
        <w:t xml:space="preserve">balancing </w:t>
      </w:r>
      <w:r w:rsidRPr="00672B3A">
        <w:rPr>
          <w:rFonts w:ascii="Arial" w:hAnsi="Arial" w:cs="Arial"/>
        </w:rPr>
        <w:t>adjustments</w:t>
      </w:r>
      <w:r>
        <w:rPr>
          <w:rFonts w:ascii="Arial" w:hAnsi="Arial" w:cs="Arial"/>
        </w:rPr>
        <w:t xml:space="preserve"> made</w:t>
      </w:r>
      <w:r w:rsidRPr="00672B3A">
        <w:rPr>
          <w:rFonts w:ascii="Arial" w:hAnsi="Arial" w:cs="Arial"/>
        </w:rPr>
        <w:t>.</w:t>
      </w:r>
    </w:p>
    <w:p w:rsidR="005B19D8" w:rsidRPr="00672B3A" w:rsidRDefault="005B19D8" w:rsidP="004132A5">
      <w:pPr>
        <w:pStyle w:val="ListParagraph"/>
        <w:rPr>
          <w:rFonts w:ascii="Arial" w:hAnsi="Arial" w:cs="Arial"/>
        </w:rPr>
      </w:pPr>
    </w:p>
    <w:p w:rsidR="005B19D8" w:rsidRDefault="005B19D8" w:rsidP="00EC42C0">
      <w:pPr>
        <w:pStyle w:val="ListParagraph"/>
        <w:numPr>
          <w:ilvl w:val="0"/>
          <w:numId w:val="13"/>
        </w:numPr>
        <w:tabs>
          <w:tab w:val="clear" w:pos="720"/>
        </w:tabs>
        <w:spacing w:before="240" w:after="0" w:line="240" w:lineRule="auto"/>
        <w:ind w:left="851" w:hanging="425"/>
        <w:jc w:val="both"/>
        <w:rPr>
          <w:rFonts w:ascii="Arial" w:hAnsi="Arial" w:cs="Arial"/>
        </w:rPr>
      </w:pPr>
      <w:r w:rsidRPr="00672B3A">
        <w:rPr>
          <w:rFonts w:ascii="Arial" w:hAnsi="Arial" w:cs="Arial"/>
        </w:rPr>
        <w:t xml:space="preserve">Calculation of </w:t>
      </w:r>
      <w:r>
        <w:rPr>
          <w:rFonts w:ascii="Arial" w:hAnsi="Arial" w:cs="Arial"/>
        </w:rPr>
        <w:t>expected</w:t>
      </w:r>
      <w:r w:rsidRPr="00672B3A">
        <w:rPr>
          <w:rFonts w:ascii="Arial" w:hAnsi="Arial" w:cs="Arial"/>
        </w:rPr>
        <w:t xml:space="preserve"> benefits</w:t>
      </w:r>
      <w:r>
        <w:rPr>
          <w:rFonts w:ascii="Arial" w:hAnsi="Arial" w:cs="Arial"/>
        </w:rPr>
        <w:t>,</w:t>
      </w:r>
      <w:r w:rsidRPr="00672B3A">
        <w:rPr>
          <w:rFonts w:ascii="Arial" w:hAnsi="Arial" w:cs="Arial"/>
        </w:rPr>
        <w:t xml:space="preserve"> including the selection of parameters, calculation method and reason</w:t>
      </w:r>
      <w:r>
        <w:rPr>
          <w:rFonts w:ascii="Arial" w:hAnsi="Arial" w:cs="Arial"/>
        </w:rPr>
        <w:t>s for</w:t>
      </w:r>
      <w:r w:rsidRPr="00672B3A">
        <w:rPr>
          <w:rFonts w:ascii="Arial" w:hAnsi="Arial" w:cs="Arial"/>
        </w:rPr>
        <w:t xml:space="preserve"> </w:t>
      </w:r>
      <w:r>
        <w:rPr>
          <w:rFonts w:ascii="Arial" w:hAnsi="Arial" w:cs="Arial"/>
        </w:rPr>
        <w:t>any changes to them</w:t>
      </w:r>
      <w:r w:rsidRPr="00672B3A">
        <w:rPr>
          <w:rFonts w:ascii="Arial" w:hAnsi="Arial" w:cs="Arial"/>
        </w:rPr>
        <w:t>.</w:t>
      </w:r>
    </w:p>
    <w:p w:rsidR="005B19D8" w:rsidRPr="00DE24BF" w:rsidRDefault="005B19D8" w:rsidP="004132A5">
      <w:pPr>
        <w:pStyle w:val="ListParagrap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S</w:t>
      </w:r>
      <w:r w:rsidRPr="00DE24BF">
        <w:rPr>
          <w:rFonts w:ascii="Arial" w:hAnsi="Arial" w:cs="Arial"/>
        </w:rPr>
        <w:t>pecial</w:t>
      </w:r>
      <w:r>
        <w:rPr>
          <w:rFonts w:ascii="Arial" w:hAnsi="Arial" w:cs="Arial"/>
        </w:rPr>
        <w:t xml:space="preserve"> issue</w:t>
      </w:r>
      <w:r w:rsidRPr="001F0E2D">
        <w:rPr>
          <w:rFonts w:ascii="Arial" w:hAnsi="Arial" w:cs="Arial"/>
        </w:rPr>
        <w:t xml:space="preserve"> file </w:t>
      </w:r>
      <w:r>
        <w:rPr>
          <w:rFonts w:ascii="Arial" w:hAnsi="Arial" w:cs="Arial"/>
        </w:rPr>
        <w:t>on thin capitalisation</w:t>
      </w:r>
      <w:r w:rsidRPr="001F0E2D">
        <w:rPr>
          <w:rFonts w:ascii="Arial" w:hAnsi="Arial" w:cs="Arial"/>
        </w:rPr>
        <w:t xml:space="preserve"> shall </w:t>
      </w:r>
      <w:r>
        <w:rPr>
          <w:rFonts w:ascii="Arial" w:hAnsi="Arial" w:cs="Arial"/>
        </w:rPr>
        <w:t>include</w:t>
      </w:r>
      <w:r w:rsidRPr="001F0E2D">
        <w:rPr>
          <w:rFonts w:ascii="Arial" w:hAnsi="Arial" w:cs="Arial"/>
        </w:rPr>
        <w:t xml:space="preserve"> the following</w:t>
      </w:r>
      <w:r>
        <w:rPr>
          <w:rFonts w:ascii="Arial" w:hAnsi="Arial" w:cs="Arial"/>
        </w:rPr>
        <w:t xml:space="preserve"> information</w:t>
      </w:r>
      <w:r w:rsidRPr="001F0E2D">
        <w:rPr>
          <w:rFonts w:ascii="Arial" w:hAnsi="Arial" w:cs="Arial"/>
        </w:rPr>
        <w:t>:</w:t>
      </w:r>
    </w:p>
    <w:p w:rsidR="005B19D8" w:rsidRDefault="005B19D8" w:rsidP="004132A5">
      <w:pPr>
        <w:pStyle w:val="ListParagraph"/>
        <w:spacing w:before="240" w:after="0" w:line="240" w:lineRule="auto"/>
        <w:jc w:val="both"/>
        <w:rPr>
          <w:rFonts w:ascii="Arial" w:hAnsi="Arial" w:cs="Arial"/>
        </w:rPr>
      </w:pPr>
    </w:p>
    <w:p w:rsidR="005B19D8" w:rsidRDefault="005B19D8" w:rsidP="00EC42C0">
      <w:pPr>
        <w:pStyle w:val="ListParagraph"/>
        <w:numPr>
          <w:ilvl w:val="0"/>
          <w:numId w:val="12"/>
        </w:numPr>
        <w:tabs>
          <w:tab w:val="clear" w:pos="720"/>
        </w:tabs>
        <w:spacing w:before="240" w:after="0" w:line="240" w:lineRule="auto"/>
        <w:ind w:left="851" w:hanging="425"/>
        <w:jc w:val="both"/>
        <w:rPr>
          <w:rFonts w:ascii="Arial" w:hAnsi="Arial" w:cs="Arial"/>
        </w:rPr>
      </w:pPr>
      <w:r>
        <w:rPr>
          <w:rFonts w:ascii="Arial" w:hAnsi="Arial" w:cs="Arial"/>
        </w:rPr>
        <w:t>Analysis of the enterprise’</w:t>
      </w:r>
      <w:r w:rsidRPr="00F20354">
        <w:rPr>
          <w:rFonts w:ascii="Arial" w:hAnsi="Arial" w:cs="Arial"/>
        </w:rPr>
        <w:t xml:space="preserve">s </w:t>
      </w:r>
      <w:r>
        <w:rPr>
          <w:rFonts w:ascii="Arial" w:hAnsi="Arial" w:cs="Arial"/>
        </w:rPr>
        <w:t xml:space="preserve">solvency and borrowing ability. </w:t>
      </w:r>
    </w:p>
    <w:p w:rsidR="005B19D8" w:rsidRDefault="005B19D8" w:rsidP="004132A5">
      <w:pPr>
        <w:pStyle w:val="ListParagraph"/>
        <w:spacing w:before="240" w:after="0" w:line="240" w:lineRule="auto"/>
        <w:ind w:left="851"/>
        <w:jc w:val="both"/>
        <w:rPr>
          <w:rFonts w:ascii="Arial" w:hAnsi="Arial" w:cs="Arial"/>
        </w:rPr>
      </w:pPr>
    </w:p>
    <w:p w:rsidR="005B19D8" w:rsidRDefault="005B19D8" w:rsidP="00EC42C0">
      <w:pPr>
        <w:pStyle w:val="ListParagraph"/>
        <w:numPr>
          <w:ilvl w:val="0"/>
          <w:numId w:val="12"/>
        </w:numPr>
        <w:tabs>
          <w:tab w:val="clear" w:pos="720"/>
        </w:tabs>
        <w:spacing w:before="240" w:after="0" w:line="240" w:lineRule="auto"/>
        <w:ind w:left="851" w:hanging="425"/>
        <w:jc w:val="both"/>
        <w:rPr>
          <w:rFonts w:ascii="Arial" w:hAnsi="Arial" w:cs="Arial"/>
        </w:rPr>
      </w:pPr>
      <w:r w:rsidRPr="00F20354">
        <w:rPr>
          <w:rFonts w:ascii="Arial" w:hAnsi="Arial" w:cs="Arial"/>
        </w:rPr>
        <w:t xml:space="preserve">Analysis of the borrowing </w:t>
      </w:r>
      <w:r>
        <w:rPr>
          <w:rFonts w:ascii="Arial" w:hAnsi="Arial" w:cs="Arial"/>
        </w:rPr>
        <w:t xml:space="preserve">ability and financing structure of the group to which the enterprise belong. </w:t>
      </w:r>
    </w:p>
    <w:p w:rsidR="005B19D8" w:rsidRPr="00F20354" w:rsidRDefault="005B19D8" w:rsidP="004132A5">
      <w:pPr>
        <w:pStyle w:val="ListParagraph"/>
        <w:rPr>
          <w:rFonts w:ascii="Arial" w:hAnsi="Arial" w:cs="Arial"/>
        </w:rPr>
      </w:pPr>
    </w:p>
    <w:p w:rsidR="005B19D8" w:rsidRDefault="005B19D8" w:rsidP="00EC42C0">
      <w:pPr>
        <w:pStyle w:val="ListParagraph"/>
        <w:numPr>
          <w:ilvl w:val="0"/>
          <w:numId w:val="12"/>
        </w:numPr>
        <w:tabs>
          <w:tab w:val="clear" w:pos="720"/>
        </w:tabs>
        <w:spacing w:before="240" w:after="0" w:line="240" w:lineRule="auto"/>
        <w:ind w:left="851" w:hanging="425"/>
        <w:jc w:val="both"/>
        <w:rPr>
          <w:rFonts w:ascii="Arial" w:hAnsi="Arial" w:cs="Arial"/>
        </w:rPr>
      </w:pPr>
      <w:r>
        <w:rPr>
          <w:rFonts w:ascii="Arial" w:hAnsi="Arial" w:cs="Arial"/>
        </w:rPr>
        <w:t>A description</w:t>
      </w:r>
      <w:r w:rsidRPr="00F20354">
        <w:rPr>
          <w:rFonts w:ascii="Arial" w:hAnsi="Arial" w:cs="Arial"/>
        </w:rPr>
        <w:t xml:space="preserve"> of changes </w:t>
      </w:r>
      <w:r>
        <w:rPr>
          <w:rFonts w:ascii="Arial" w:hAnsi="Arial" w:cs="Arial"/>
        </w:rPr>
        <w:t>in</w:t>
      </w:r>
      <w:r w:rsidRPr="00F20354">
        <w:rPr>
          <w:rFonts w:ascii="Arial" w:hAnsi="Arial" w:cs="Arial"/>
        </w:rPr>
        <w:t xml:space="preserve"> equity investment of the enterprise, such as changes in registered capital</w:t>
      </w:r>
      <w:r>
        <w:rPr>
          <w:rFonts w:ascii="Arial" w:hAnsi="Arial" w:cs="Arial"/>
        </w:rPr>
        <w:t>, etc.</w:t>
      </w:r>
    </w:p>
    <w:p w:rsidR="005B19D8" w:rsidRPr="00F20354" w:rsidRDefault="005B19D8" w:rsidP="004132A5">
      <w:pPr>
        <w:pStyle w:val="ListParagraph"/>
        <w:rPr>
          <w:rFonts w:ascii="Arial" w:hAnsi="Arial" w:cs="Arial"/>
        </w:rPr>
      </w:pPr>
    </w:p>
    <w:p w:rsidR="005B19D8" w:rsidRDefault="005B19D8" w:rsidP="00EC42C0">
      <w:pPr>
        <w:pStyle w:val="ListParagraph"/>
        <w:numPr>
          <w:ilvl w:val="0"/>
          <w:numId w:val="12"/>
        </w:numPr>
        <w:tabs>
          <w:tab w:val="clear" w:pos="720"/>
        </w:tabs>
        <w:spacing w:before="240" w:after="0" w:line="240" w:lineRule="auto"/>
        <w:ind w:left="851" w:hanging="425"/>
        <w:jc w:val="both"/>
        <w:rPr>
          <w:rFonts w:ascii="Arial" w:hAnsi="Arial" w:cs="Arial"/>
        </w:rPr>
      </w:pPr>
      <w:r w:rsidRPr="00F20354">
        <w:rPr>
          <w:rFonts w:ascii="Arial" w:hAnsi="Arial" w:cs="Arial"/>
        </w:rPr>
        <w:t xml:space="preserve">Nature and </w:t>
      </w:r>
      <w:r>
        <w:rPr>
          <w:rFonts w:ascii="Arial" w:hAnsi="Arial" w:cs="Arial"/>
        </w:rPr>
        <w:t>purposes</w:t>
      </w:r>
      <w:r w:rsidRPr="00F20354">
        <w:rPr>
          <w:rFonts w:ascii="Arial" w:hAnsi="Arial" w:cs="Arial"/>
        </w:rPr>
        <w:t xml:space="preserve"> of </w:t>
      </w:r>
      <w:r>
        <w:rPr>
          <w:rFonts w:ascii="Arial" w:hAnsi="Arial" w:cs="Arial"/>
        </w:rPr>
        <w:t xml:space="preserve">the related party </w:t>
      </w:r>
      <w:r w:rsidRPr="00F20354">
        <w:rPr>
          <w:rFonts w:ascii="Arial" w:hAnsi="Arial" w:cs="Arial"/>
        </w:rPr>
        <w:t>debt investment, and the market conditions at the time t</w:t>
      </w:r>
      <w:r>
        <w:rPr>
          <w:rFonts w:ascii="Arial" w:hAnsi="Arial" w:cs="Arial"/>
        </w:rPr>
        <w:t xml:space="preserve">he debt investment was obtained. </w:t>
      </w:r>
    </w:p>
    <w:p w:rsidR="005B19D8" w:rsidRPr="00F20354" w:rsidRDefault="005B19D8" w:rsidP="004132A5">
      <w:pPr>
        <w:pStyle w:val="ListParagraph"/>
        <w:rPr>
          <w:rFonts w:ascii="Arial" w:hAnsi="Arial" w:cs="Arial"/>
        </w:rPr>
      </w:pPr>
    </w:p>
    <w:p w:rsidR="005B19D8" w:rsidRDefault="005B19D8" w:rsidP="00EC42C0">
      <w:pPr>
        <w:pStyle w:val="ListParagraph"/>
        <w:numPr>
          <w:ilvl w:val="0"/>
          <w:numId w:val="12"/>
        </w:numPr>
        <w:tabs>
          <w:tab w:val="clear" w:pos="720"/>
        </w:tabs>
        <w:spacing w:before="240" w:after="0" w:line="240" w:lineRule="auto"/>
        <w:ind w:left="851" w:hanging="425"/>
        <w:jc w:val="both"/>
        <w:rPr>
          <w:rFonts w:ascii="Arial" w:hAnsi="Arial" w:cs="Arial"/>
        </w:rPr>
      </w:pPr>
      <w:r w:rsidRPr="00F20354">
        <w:rPr>
          <w:rFonts w:ascii="Arial" w:hAnsi="Arial" w:cs="Arial"/>
        </w:rPr>
        <w:t xml:space="preserve">Currency, amount, interest rate, term and financing terms of </w:t>
      </w:r>
      <w:r>
        <w:rPr>
          <w:rFonts w:ascii="Arial" w:hAnsi="Arial" w:cs="Arial"/>
        </w:rPr>
        <w:t xml:space="preserve">the related party </w:t>
      </w:r>
      <w:r w:rsidRPr="00F20354">
        <w:rPr>
          <w:rFonts w:ascii="Arial" w:hAnsi="Arial" w:cs="Arial"/>
        </w:rPr>
        <w:t>debt investment</w:t>
      </w:r>
      <w:r>
        <w:rPr>
          <w:rFonts w:ascii="Arial" w:hAnsi="Arial" w:cs="Arial"/>
        </w:rPr>
        <w:t xml:space="preserve">. </w:t>
      </w:r>
    </w:p>
    <w:p w:rsidR="005B19D8" w:rsidRPr="00F20354" w:rsidRDefault="005B19D8" w:rsidP="004132A5">
      <w:pPr>
        <w:pStyle w:val="ListParagraph"/>
        <w:rPr>
          <w:rFonts w:ascii="Arial" w:hAnsi="Arial" w:cs="Arial"/>
        </w:rPr>
      </w:pPr>
    </w:p>
    <w:p w:rsidR="005B19D8" w:rsidRDefault="005B19D8" w:rsidP="00EC42C0">
      <w:pPr>
        <w:pStyle w:val="ListParagraph"/>
        <w:numPr>
          <w:ilvl w:val="0"/>
          <w:numId w:val="12"/>
        </w:numPr>
        <w:tabs>
          <w:tab w:val="clear" w:pos="720"/>
        </w:tabs>
        <w:spacing w:before="240" w:after="0" w:line="240" w:lineRule="auto"/>
        <w:ind w:left="851" w:hanging="425"/>
        <w:jc w:val="both"/>
        <w:rPr>
          <w:rFonts w:ascii="Arial" w:hAnsi="Arial" w:cs="Arial"/>
        </w:rPr>
      </w:pPr>
      <w:r w:rsidRPr="00F20354">
        <w:rPr>
          <w:rFonts w:ascii="Arial" w:hAnsi="Arial" w:cs="Arial"/>
        </w:rPr>
        <w:t xml:space="preserve">Whether </w:t>
      </w:r>
      <w:r>
        <w:rPr>
          <w:rFonts w:ascii="Arial" w:hAnsi="Arial" w:cs="Arial"/>
        </w:rPr>
        <w:t>an unrelated</w:t>
      </w:r>
      <w:r w:rsidRPr="00F20354">
        <w:rPr>
          <w:rFonts w:ascii="Arial" w:hAnsi="Arial" w:cs="Arial"/>
        </w:rPr>
        <w:t xml:space="preserve"> party is </w:t>
      </w:r>
      <w:r>
        <w:rPr>
          <w:rFonts w:ascii="Arial" w:hAnsi="Arial" w:cs="Arial"/>
        </w:rPr>
        <w:t>capable and willing</w:t>
      </w:r>
      <w:r w:rsidRPr="00F20354">
        <w:rPr>
          <w:rFonts w:ascii="Arial" w:hAnsi="Arial" w:cs="Arial"/>
        </w:rPr>
        <w:t xml:space="preserve"> to accept the aforementioned financing </w:t>
      </w:r>
      <w:r>
        <w:rPr>
          <w:rFonts w:ascii="Arial" w:hAnsi="Arial" w:cs="Arial"/>
        </w:rPr>
        <w:t xml:space="preserve">terms, amount and interest rate. </w:t>
      </w:r>
      <w:r w:rsidRPr="00F20354">
        <w:rPr>
          <w:rFonts w:ascii="Arial" w:hAnsi="Arial" w:cs="Arial"/>
        </w:rPr>
        <w:t xml:space="preserve">  </w:t>
      </w:r>
    </w:p>
    <w:p w:rsidR="005B19D8" w:rsidRPr="00F20354" w:rsidRDefault="005B19D8" w:rsidP="004132A5">
      <w:pPr>
        <w:pStyle w:val="ListParagraph"/>
        <w:rPr>
          <w:rFonts w:ascii="Arial" w:hAnsi="Arial" w:cs="Arial"/>
        </w:rPr>
      </w:pPr>
    </w:p>
    <w:p w:rsidR="005B19D8" w:rsidRDefault="005B19D8" w:rsidP="00EC42C0">
      <w:pPr>
        <w:pStyle w:val="ListParagraph"/>
        <w:numPr>
          <w:ilvl w:val="0"/>
          <w:numId w:val="12"/>
        </w:numPr>
        <w:tabs>
          <w:tab w:val="clear" w:pos="720"/>
        </w:tabs>
        <w:spacing w:before="240" w:after="0" w:line="240" w:lineRule="auto"/>
        <w:ind w:left="851" w:hanging="425"/>
        <w:jc w:val="both"/>
        <w:rPr>
          <w:rFonts w:ascii="Arial" w:hAnsi="Arial" w:cs="Arial"/>
        </w:rPr>
      </w:pPr>
      <w:r w:rsidRPr="00F20354">
        <w:rPr>
          <w:rFonts w:ascii="Arial" w:hAnsi="Arial" w:cs="Arial"/>
        </w:rPr>
        <w:t>Collaterals provided by the enterprise in order</w:t>
      </w:r>
      <w:r>
        <w:rPr>
          <w:rFonts w:ascii="Arial" w:hAnsi="Arial" w:cs="Arial"/>
        </w:rPr>
        <w:t xml:space="preserve"> to obtain the debt investment and the relevant terms. </w:t>
      </w:r>
    </w:p>
    <w:p w:rsidR="005B19D8" w:rsidRPr="00F20354" w:rsidRDefault="005B19D8" w:rsidP="004132A5">
      <w:pPr>
        <w:pStyle w:val="ListParagraph"/>
        <w:rPr>
          <w:rFonts w:ascii="Arial" w:hAnsi="Arial" w:cs="Arial"/>
        </w:rPr>
      </w:pPr>
    </w:p>
    <w:p w:rsidR="005B19D8" w:rsidRDefault="005B19D8" w:rsidP="00EC42C0">
      <w:pPr>
        <w:pStyle w:val="ListParagraph"/>
        <w:numPr>
          <w:ilvl w:val="0"/>
          <w:numId w:val="12"/>
        </w:numPr>
        <w:tabs>
          <w:tab w:val="clear" w:pos="720"/>
        </w:tabs>
        <w:spacing w:before="240" w:after="0" w:line="240" w:lineRule="auto"/>
        <w:ind w:left="851" w:hanging="425"/>
        <w:jc w:val="both"/>
        <w:rPr>
          <w:rFonts w:ascii="Arial" w:hAnsi="Arial" w:cs="Arial"/>
        </w:rPr>
      </w:pPr>
      <w:r w:rsidRPr="00F20354">
        <w:rPr>
          <w:rFonts w:ascii="Arial" w:hAnsi="Arial" w:cs="Arial"/>
        </w:rPr>
        <w:t>Details of the guarantor and th</w:t>
      </w:r>
      <w:r>
        <w:rPr>
          <w:rFonts w:ascii="Arial" w:hAnsi="Arial" w:cs="Arial"/>
        </w:rPr>
        <w:t xml:space="preserve">e terms of guarantee. </w:t>
      </w:r>
    </w:p>
    <w:p w:rsidR="005B19D8" w:rsidRPr="00F20354" w:rsidRDefault="005B19D8" w:rsidP="004132A5">
      <w:pPr>
        <w:pStyle w:val="ListParagraph"/>
        <w:rPr>
          <w:rFonts w:ascii="Arial" w:hAnsi="Arial" w:cs="Arial"/>
        </w:rPr>
      </w:pPr>
    </w:p>
    <w:p w:rsidR="005B19D8" w:rsidRDefault="005B19D8" w:rsidP="00EC42C0">
      <w:pPr>
        <w:pStyle w:val="ListParagraph"/>
        <w:numPr>
          <w:ilvl w:val="0"/>
          <w:numId w:val="12"/>
        </w:numPr>
        <w:tabs>
          <w:tab w:val="clear" w:pos="720"/>
        </w:tabs>
        <w:spacing w:before="240" w:after="0" w:line="240" w:lineRule="auto"/>
        <w:ind w:left="851" w:hanging="425"/>
        <w:jc w:val="both"/>
        <w:rPr>
          <w:rFonts w:ascii="Arial" w:hAnsi="Arial" w:cs="Arial"/>
        </w:rPr>
      </w:pPr>
      <w:r w:rsidRPr="00F20354">
        <w:rPr>
          <w:rFonts w:ascii="Arial" w:hAnsi="Arial" w:cs="Arial"/>
        </w:rPr>
        <w:lastRenderedPageBreak/>
        <w:t>Interest rate</w:t>
      </w:r>
      <w:r>
        <w:rPr>
          <w:rFonts w:ascii="Arial" w:hAnsi="Arial" w:cs="Arial"/>
        </w:rPr>
        <w:t>s</w:t>
      </w:r>
      <w:r w:rsidRPr="00F20354">
        <w:rPr>
          <w:rFonts w:ascii="Arial" w:hAnsi="Arial" w:cs="Arial"/>
        </w:rPr>
        <w:t xml:space="preserve"> and financing terms of similar loans </w:t>
      </w:r>
      <w:r>
        <w:rPr>
          <w:rFonts w:ascii="Arial" w:hAnsi="Arial" w:cs="Arial"/>
        </w:rPr>
        <w:t xml:space="preserve">occurring during the same period of time. </w:t>
      </w:r>
    </w:p>
    <w:p w:rsidR="005B19D8" w:rsidRPr="00F20354" w:rsidRDefault="005B19D8" w:rsidP="004132A5">
      <w:pPr>
        <w:pStyle w:val="ListParagraph"/>
        <w:rPr>
          <w:rFonts w:ascii="Arial" w:hAnsi="Arial" w:cs="Arial"/>
        </w:rPr>
      </w:pPr>
    </w:p>
    <w:p w:rsidR="005B19D8" w:rsidRDefault="005B19D8" w:rsidP="00EC42C0">
      <w:pPr>
        <w:pStyle w:val="ListParagraph"/>
        <w:numPr>
          <w:ilvl w:val="0"/>
          <w:numId w:val="12"/>
        </w:numPr>
        <w:tabs>
          <w:tab w:val="clear" w:pos="720"/>
        </w:tabs>
        <w:spacing w:before="240" w:after="0" w:line="240" w:lineRule="auto"/>
        <w:ind w:left="851" w:hanging="425"/>
        <w:jc w:val="both"/>
        <w:rPr>
          <w:rFonts w:ascii="Arial" w:hAnsi="Arial" w:cs="Arial"/>
        </w:rPr>
      </w:pPr>
      <w:r w:rsidRPr="00F20354">
        <w:rPr>
          <w:rFonts w:ascii="Arial" w:hAnsi="Arial" w:cs="Arial"/>
        </w:rPr>
        <w:t>Terms of conv</w:t>
      </w:r>
      <w:r>
        <w:rPr>
          <w:rFonts w:ascii="Arial" w:hAnsi="Arial" w:cs="Arial"/>
        </w:rPr>
        <w:t xml:space="preserve">ersion of convertible bonds. </w:t>
      </w:r>
    </w:p>
    <w:p w:rsidR="005B19D8" w:rsidRPr="00F20354" w:rsidRDefault="005B19D8" w:rsidP="004132A5">
      <w:pPr>
        <w:pStyle w:val="ListParagraph"/>
        <w:rPr>
          <w:rFonts w:ascii="Arial" w:hAnsi="Arial" w:cs="Arial"/>
        </w:rPr>
      </w:pPr>
    </w:p>
    <w:p w:rsidR="005B19D8" w:rsidRPr="00F20354" w:rsidRDefault="005B19D8" w:rsidP="00EC42C0">
      <w:pPr>
        <w:pStyle w:val="ListParagraph"/>
        <w:numPr>
          <w:ilvl w:val="0"/>
          <w:numId w:val="12"/>
        </w:numPr>
        <w:tabs>
          <w:tab w:val="clear" w:pos="720"/>
        </w:tabs>
        <w:spacing w:before="240" w:after="0" w:line="240" w:lineRule="auto"/>
        <w:ind w:left="851" w:hanging="425"/>
        <w:jc w:val="both"/>
        <w:rPr>
          <w:rFonts w:ascii="Arial" w:hAnsi="Arial" w:cs="Arial"/>
        </w:rPr>
      </w:pPr>
      <w:r w:rsidRPr="00F20354">
        <w:rPr>
          <w:rFonts w:ascii="Arial" w:hAnsi="Arial" w:cs="Arial"/>
        </w:rPr>
        <w:t xml:space="preserve">Other information </w:t>
      </w:r>
      <w:r>
        <w:rPr>
          <w:rFonts w:ascii="Arial" w:hAnsi="Arial" w:cs="Arial"/>
        </w:rPr>
        <w:t>that can demonstrate the enterprise’s conformity with the arm’</w:t>
      </w:r>
      <w:r w:rsidRPr="00F20354">
        <w:rPr>
          <w:rFonts w:ascii="Arial" w:hAnsi="Arial" w:cs="Arial"/>
        </w:rPr>
        <w:t>s length principle.</w:t>
      </w:r>
    </w:p>
    <w:p w:rsidR="005B19D8" w:rsidRPr="001D41A7"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 xml:space="preserve">Enterprises with effective </w:t>
      </w:r>
      <w:r w:rsidRPr="000C6A23">
        <w:rPr>
          <w:rFonts w:ascii="Arial" w:eastAsia="FangSong_GB2312" w:hAnsi="Arial" w:cs="Arial"/>
        </w:rPr>
        <w:t xml:space="preserve">advance pricing </w:t>
      </w:r>
      <w:r>
        <w:rPr>
          <w:rFonts w:ascii="Arial" w:eastAsia="FangSong_GB2312" w:hAnsi="Arial" w:cs="Arial"/>
        </w:rPr>
        <w:t>agreements</w:t>
      </w:r>
      <w:r>
        <w:rPr>
          <w:rFonts w:ascii="Arial" w:hAnsi="Arial" w:cs="Arial"/>
        </w:rPr>
        <w:t xml:space="preserve"> in place may choose not to prepare local file and s</w:t>
      </w:r>
      <w:r w:rsidRPr="00DE24BF">
        <w:rPr>
          <w:rFonts w:ascii="Arial" w:hAnsi="Arial" w:cs="Arial"/>
        </w:rPr>
        <w:t>pecial</w:t>
      </w:r>
      <w:r>
        <w:rPr>
          <w:rFonts w:ascii="Arial" w:hAnsi="Arial" w:cs="Arial"/>
        </w:rPr>
        <w:t xml:space="preserve"> issue</w:t>
      </w:r>
      <w:r w:rsidRPr="001F0E2D">
        <w:rPr>
          <w:rFonts w:ascii="Arial" w:hAnsi="Arial" w:cs="Arial"/>
        </w:rPr>
        <w:t xml:space="preserve"> file</w:t>
      </w:r>
      <w:r>
        <w:rPr>
          <w:rFonts w:ascii="Arial" w:hAnsi="Arial" w:cs="Arial"/>
        </w:rPr>
        <w:t xml:space="preserve"> with respect to the </w:t>
      </w:r>
      <w:r>
        <w:rPr>
          <w:rFonts w:ascii="Arial" w:eastAsia="FangSong_GB2312" w:hAnsi="Arial" w:cs="Arial"/>
        </w:rPr>
        <w:t>related party tr</w:t>
      </w:r>
      <w:r w:rsidRPr="000C6A23">
        <w:rPr>
          <w:rFonts w:ascii="Arial" w:eastAsia="FangSong_GB2312" w:hAnsi="Arial" w:cs="Arial"/>
        </w:rPr>
        <w:t xml:space="preserve">ansactions covered </w:t>
      </w:r>
      <w:r>
        <w:rPr>
          <w:rFonts w:ascii="Arial" w:eastAsia="FangSong_GB2312" w:hAnsi="Arial" w:cs="Arial"/>
        </w:rPr>
        <w:t>by</w:t>
      </w:r>
      <w:r w:rsidRPr="000C6A23">
        <w:rPr>
          <w:rFonts w:ascii="Arial" w:eastAsia="FangSong_GB2312" w:hAnsi="Arial" w:cs="Arial"/>
        </w:rPr>
        <w:t xml:space="preserve"> </w:t>
      </w:r>
      <w:r>
        <w:rPr>
          <w:rFonts w:ascii="Arial" w:eastAsia="FangSong_GB2312" w:hAnsi="Arial" w:cs="Arial"/>
        </w:rPr>
        <w:t xml:space="preserve">such </w:t>
      </w:r>
      <w:r w:rsidRPr="000C6A23">
        <w:rPr>
          <w:rFonts w:ascii="Arial" w:eastAsia="FangSong_GB2312" w:hAnsi="Arial" w:cs="Arial"/>
        </w:rPr>
        <w:t xml:space="preserve">advance pricing </w:t>
      </w:r>
      <w:r>
        <w:rPr>
          <w:rFonts w:ascii="Arial" w:eastAsia="FangSong_GB2312" w:hAnsi="Arial" w:cs="Arial"/>
        </w:rPr>
        <w:t>agreements</w:t>
      </w:r>
      <w:r>
        <w:rPr>
          <w:rFonts w:ascii="Arial" w:hAnsi="Arial" w:cs="Arial"/>
          <w:lang w:eastAsia="zh-TW"/>
        </w:rPr>
        <w:t xml:space="preserve">, and the </w:t>
      </w:r>
      <w:r>
        <w:rPr>
          <w:rFonts w:ascii="Arial" w:hAnsi="Arial" w:cs="Arial"/>
        </w:rPr>
        <w:t>amount of these related party transactions is excluded from the calculation of the thresholds stipulated in Articles 13 of this Public Notice.</w:t>
      </w:r>
    </w:p>
    <w:p w:rsidR="005B19D8" w:rsidRDefault="005B19D8" w:rsidP="004132A5">
      <w:pPr>
        <w:pStyle w:val="ListParagraph"/>
        <w:ind w:left="426"/>
        <w:jc w:val="both"/>
        <w:rPr>
          <w:rFonts w:ascii="Arial" w:hAnsi="Arial" w:cs="Arial"/>
        </w:rPr>
      </w:pPr>
    </w:p>
    <w:p w:rsidR="005B19D8" w:rsidRPr="003911F0" w:rsidRDefault="005B19D8" w:rsidP="004132A5">
      <w:pPr>
        <w:pStyle w:val="ListParagraph"/>
        <w:ind w:left="426"/>
        <w:jc w:val="both"/>
        <w:rPr>
          <w:rFonts w:ascii="Arial" w:eastAsia="FangSong_GB2312" w:hAnsi="Arial" w:cs="Times New Roman"/>
        </w:rPr>
      </w:pPr>
      <w:r>
        <w:rPr>
          <w:rFonts w:ascii="Arial" w:hAnsi="Arial" w:cs="Arial"/>
        </w:rPr>
        <w:t>Enterprises with only domestic related party transactions may choose not to prepare master file, local file and s</w:t>
      </w:r>
      <w:r w:rsidRPr="00DE24BF">
        <w:rPr>
          <w:rFonts w:ascii="Arial" w:hAnsi="Arial" w:cs="Arial"/>
        </w:rPr>
        <w:t>pecial</w:t>
      </w:r>
      <w:r>
        <w:rPr>
          <w:rFonts w:ascii="Arial" w:hAnsi="Arial" w:cs="Arial"/>
        </w:rPr>
        <w:t xml:space="preserve"> issue</w:t>
      </w:r>
      <w:r w:rsidRPr="001F0E2D">
        <w:rPr>
          <w:rFonts w:ascii="Arial" w:hAnsi="Arial" w:cs="Arial"/>
        </w:rPr>
        <w:t xml:space="preserve"> file</w:t>
      </w:r>
      <w:r>
        <w:rPr>
          <w:rFonts w:ascii="Arial" w:hAnsi="Arial" w:cs="Arial"/>
        </w:rPr>
        <w:t>.</w:t>
      </w:r>
    </w:p>
    <w:p w:rsidR="005B19D8"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A master</w:t>
      </w:r>
      <w:r w:rsidRPr="00FD3F36">
        <w:rPr>
          <w:rFonts w:ascii="Arial" w:hAnsi="Arial" w:cs="Arial"/>
        </w:rPr>
        <w:t xml:space="preserve"> file shall be completed within 12 months </w:t>
      </w:r>
      <w:r>
        <w:rPr>
          <w:rFonts w:ascii="Arial" w:hAnsi="Arial" w:cs="Arial"/>
        </w:rPr>
        <w:t>of</w:t>
      </w:r>
      <w:r w:rsidRPr="00FD3F36">
        <w:rPr>
          <w:rFonts w:ascii="Arial" w:hAnsi="Arial" w:cs="Arial"/>
        </w:rPr>
        <w:t xml:space="preserve"> the </w:t>
      </w:r>
      <w:r>
        <w:rPr>
          <w:rFonts w:ascii="Arial" w:hAnsi="Arial" w:cs="Arial"/>
        </w:rPr>
        <w:t>fiscal</w:t>
      </w:r>
      <w:r w:rsidRPr="00FD3F36">
        <w:rPr>
          <w:rFonts w:ascii="Arial" w:hAnsi="Arial" w:cs="Arial"/>
        </w:rPr>
        <w:t xml:space="preserve"> year end of the ultimate holding </w:t>
      </w:r>
      <w:r>
        <w:rPr>
          <w:rFonts w:ascii="Arial" w:hAnsi="Arial" w:cs="Arial"/>
        </w:rPr>
        <w:t>company</w:t>
      </w:r>
      <w:r w:rsidRPr="00FD3F36">
        <w:rPr>
          <w:rFonts w:ascii="Arial" w:hAnsi="Arial" w:cs="Arial"/>
        </w:rPr>
        <w:t xml:space="preserve"> of the enterprise group</w:t>
      </w:r>
      <w:r w:rsidRPr="00FD3F36">
        <w:rPr>
          <w:rFonts w:ascii="Arial" w:hAnsi="Arial" w:cs="Arial"/>
          <w:lang w:eastAsia="zh-TW"/>
        </w:rPr>
        <w:t>;</w:t>
      </w:r>
      <w:r>
        <w:rPr>
          <w:rFonts w:ascii="Arial" w:hAnsi="Arial" w:cs="Arial"/>
        </w:rPr>
        <w:t xml:space="preserve"> </w:t>
      </w:r>
      <w:r w:rsidRPr="00FD3F36">
        <w:rPr>
          <w:rFonts w:ascii="Arial" w:hAnsi="Arial" w:cs="Arial"/>
        </w:rPr>
        <w:t xml:space="preserve">local file and special issue file shall be completed by </w:t>
      </w:r>
      <w:r>
        <w:rPr>
          <w:rFonts w:ascii="Arial" w:hAnsi="Arial" w:cs="Arial"/>
        </w:rPr>
        <w:t>30 June</w:t>
      </w:r>
      <w:r w:rsidRPr="00FD3F36">
        <w:rPr>
          <w:rFonts w:ascii="Arial" w:hAnsi="Arial" w:cs="Arial"/>
        </w:rPr>
        <w:t xml:space="preserve"> of the year following the year during which the related party transactions occur.</w:t>
      </w:r>
      <w:r>
        <w:rPr>
          <w:rFonts w:ascii="Arial" w:hAnsi="Arial" w:cs="Arial"/>
        </w:rPr>
        <w:t xml:space="preserve"> C</w:t>
      </w:r>
      <w:r w:rsidRPr="000C6A23">
        <w:rPr>
          <w:rFonts w:ascii="Arial" w:hAnsi="Arial" w:cs="Arial"/>
        </w:rPr>
        <w:t>ontemporaneous</w:t>
      </w:r>
      <w:r w:rsidRPr="00FD3F36">
        <w:rPr>
          <w:rFonts w:ascii="Arial" w:hAnsi="Arial" w:cs="Arial"/>
        </w:rPr>
        <w:t xml:space="preserve"> documentation shall be submitted within 30 days </w:t>
      </w:r>
      <w:r>
        <w:rPr>
          <w:rFonts w:ascii="Arial" w:hAnsi="Arial" w:cs="Arial"/>
        </w:rPr>
        <w:t>after receiving a</w:t>
      </w:r>
      <w:r w:rsidRPr="00FD3F36">
        <w:rPr>
          <w:rFonts w:ascii="Arial" w:hAnsi="Arial" w:cs="Arial"/>
        </w:rPr>
        <w:t xml:space="preserve"> request from the tax </w:t>
      </w:r>
      <w:r>
        <w:rPr>
          <w:rFonts w:ascii="Arial" w:hAnsi="Arial" w:cs="Arial"/>
        </w:rPr>
        <w:t>administrations</w:t>
      </w:r>
      <w:r w:rsidRPr="00FD3F36">
        <w:rPr>
          <w:rFonts w:ascii="Arial" w:hAnsi="Arial" w:cs="Arial"/>
        </w:rPr>
        <w:t>.</w:t>
      </w:r>
    </w:p>
    <w:p w:rsidR="005B19D8" w:rsidRDefault="005B19D8" w:rsidP="004132A5">
      <w:pPr>
        <w:pStyle w:val="ListParagraph"/>
        <w:ind w:left="426"/>
        <w:jc w:val="bot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sidRPr="00911B50">
        <w:rPr>
          <w:rFonts w:ascii="Arial" w:hAnsi="Arial" w:cs="Arial"/>
        </w:rPr>
        <w:t xml:space="preserve">Enterprises </w:t>
      </w:r>
      <w:r>
        <w:rPr>
          <w:rFonts w:ascii="Arial" w:hAnsi="Arial" w:cs="Arial"/>
        </w:rPr>
        <w:t>that</w:t>
      </w:r>
      <w:r w:rsidRPr="00911B50">
        <w:rPr>
          <w:rFonts w:ascii="Arial" w:hAnsi="Arial" w:cs="Arial"/>
        </w:rPr>
        <w:t xml:space="preserve"> fail to </w:t>
      </w:r>
      <w:r>
        <w:rPr>
          <w:rFonts w:ascii="Arial" w:hAnsi="Arial" w:cs="Arial"/>
        </w:rPr>
        <w:t>submit</w:t>
      </w:r>
      <w:r w:rsidRPr="00911B50">
        <w:rPr>
          <w:rFonts w:ascii="Arial" w:hAnsi="Arial" w:cs="Arial"/>
        </w:rPr>
        <w:t xml:space="preserve"> contemporaneous documentation due to </w:t>
      </w:r>
      <w:r>
        <w:rPr>
          <w:rFonts w:ascii="Arial" w:hAnsi="Arial" w:cs="Arial"/>
        </w:rPr>
        <w:t xml:space="preserve">an event of </w:t>
      </w:r>
      <w:r w:rsidRPr="00911B50">
        <w:rPr>
          <w:rFonts w:ascii="Arial" w:hAnsi="Arial" w:cs="Arial"/>
        </w:rPr>
        <w:t xml:space="preserve">force majeure shall submit the contemporaneous documentation within 30 days after the </w:t>
      </w:r>
      <w:r>
        <w:rPr>
          <w:rFonts w:ascii="Arial" w:hAnsi="Arial" w:cs="Arial"/>
        </w:rPr>
        <w:t>event</w:t>
      </w:r>
      <w:r w:rsidRPr="00911B50">
        <w:rPr>
          <w:rFonts w:ascii="Arial" w:hAnsi="Arial" w:cs="Arial"/>
        </w:rPr>
        <w:t xml:space="preserve"> of force majeure</w:t>
      </w:r>
      <w:r>
        <w:rPr>
          <w:rFonts w:ascii="Arial" w:hAnsi="Arial" w:cs="Arial"/>
        </w:rPr>
        <w:t xml:space="preserve"> ceases to prevent the submission</w:t>
      </w:r>
      <w:r w:rsidRPr="00911B50">
        <w:rPr>
          <w:rFonts w:ascii="Arial" w:hAnsi="Arial" w:cs="Arial"/>
        </w:rPr>
        <w:t>.</w:t>
      </w:r>
    </w:p>
    <w:p w:rsidR="005B19D8" w:rsidRPr="00411312" w:rsidRDefault="005B19D8" w:rsidP="004132A5">
      <w:pPr>
        <w:pStyle w:val="ListParagrap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sidRPr="00411312">
        <w:rPr>
          <w:rFonts w:ascii="Arial" w:hAnsi="Arial" w:cs="Arial"/>
        </w:rPr>
        <w:t>Contemporaneous documentation shall be prepared in Chinese</w:t>
      </w:r>
      <w:r>
        <w:rPr>
          <w:rFonts w:ascii="Arial" w:hAnsi="Arial" w:cs="Arial"/>
        </w:rPr>
        <w:t>. The source of information used should be specified.</w:t>
      </w:r>
    </w:p>
    <w:p w:rsidR="005B19D8" w:rsidRPr="00411312" w:rsidRDefault="005B19D8" w:rsidP="004132A5">
      <w:pPr>
        <w:pStyle w:val="ListParagrap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sidRPr="00411312">
        <w:rPr>
          <w:rFonts w:ascii="Arial" w:hAnsi="Arial" w:cs="Arial"/>
        </w:rPr>
        <w:t xml:space="preserve">Contemporaneous documentation shall be sealed with the </w:t>
      </w:r>
      <w:r>
        <w:rPr>
          <w:rFonts w:ascii="Arial" w:hAnsi="Arial" w:cs="Arial"/>
        </w:rPr>
        <w:t xml:space="preserve">enterprise’sl </w:t>
      </w:r>
      <w:r w:rsidRPr="00411312">
        <w:rPr>
          <w:rFonts w:ascii="Arial" w:hAnsi="Arial" w:cs="Arial"/>
          <w:lang w:eastAsia="zh-TW"/>
        </w:rPr>
        <w:t>company</w:t>
      </w:r>
      <w:r w:rsidRPr="00411312">
        <w:rPr>
          <w:rFonts w:ascii="Arial" w:hAnsi="Arial" w:cs="Arial"/>
        </w:rPr>
        <w:t xml:space="preserve"> chop, and signed and sealed by the legal representative or the representative authorised by the legal representative</w:t>
      </w:r>
      <w:r>
        <w:rPr>
          <w:rFonts w:ascii="Arial" w:hAnsi="Arial" w:cs="Arial"/>
        </w:rPr>
        <w:t xml:space="preserve"> of the enterprise</w:t>
      </w:r>
      <w:r w:rsidRPr="00411312">
        <w:rPr>
          <w:rFonts w:ascii="Arial" w:hAnsi="Arial" w:cs="Arial"/>
        </w:rPr>
        <w:t xml:space="preserve">.  </w:t>
      </w:r>
    </w:p>
    <w:p w:rsidR="005B19D8" w:rsidRPr="00411312" w:rsidRDefault="005B19D8" w:rsidP="004132A5">
      <w:pPr>
        <w:pStyle w:val="ListParagraph"/>
        <w:rPr>
          <w:rFonts w:ascii="Arial" w:hAnsi="Arial" w:cs="Arial"/>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 xml:space="preserve">In the event of a merger or divestiture, </w:t>
      </w:r>
      <w:r w:rsidRPr="00411312">
        <w:rPr>
          <w:rFonts w:ascii="Arial" w:hAnsi="Arial" w:cs="Arial"/>
        </w:rPr>
        <w:t xml:space="preserve">the </w:t>
      </w:r>
      <w:r>
        <w:rPr>
          <w:rFonts w:ascii="Arial" w:hAnsi="Arial" w:cs="Arial"/>
        </w:rPr>
        <w:t xml:space="preserve">relevant contemporaneous documentation shall be kept by the </w:t>
      </w:r>
      <w:r w:rsidRPr="00411312">
        <w:rPr>
          <w:rFonts w:ascii="Arial" w:hAnsi="Arial" w:cs="Arial"/>
        </w:rPr>
        <w:t xml:space="preserve">surviving enterprise after the merger or </w:t>
      </w:r>
      <w:r>
        <w:rPr>
          <w:rFonts w:ascii="Arial" w:hAnsi="Arial" w:cs="Arial"/>
        </w:rPr>
        <w:t>divestiture</w:t>
      </w:r>
      <w:r w:rsidRPr="00411312">
        <w:rPr>
          <w:rFonts w:ascii="Arial" w:hAnsi="Arial" w:cs="Arial"/>
        </w:rPr>
        <w:t>.</w:t>
      </w:r>
    </w:p>
    <w:p w:rsidR="005B19D8" w:rsidRPr="00411312" w:rsidRDefault="005B19D8" w:rsidP="004132A5">
      <w:pPr>
        <w:pStyle w:val="ListParagraph"/>
        <w:rPr>
          <w:rFonts w:ascii="Arial" w:hAnsi="Arial" w:cs="Arial"/>
          <w:lang w:eastAsia="zh-TW"/>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rPr>
        <w:t>Contemporaneous documentation shall be kept for 10 years from the completion date of the preparation as required by the tax administrations.</w:t>
      </w:r>
    </w:p>
    <w:p w:rsidR="005B19D8" w:rsidRPr="003911F0" w:rsidRDefault="005B19D8" w:rsidP="004132A5">
      <w:pPr>
        <w:pStyle w:val="ListParagraph"/>
        <w:rPr>
          <w:rFonts w:ascii="Arial" w:hAnsi="Arial" w:cs="Arial"/>
          <w:lang w:eastAsia="zh-TW"/>
        </w:rPr>
      </w:pPr>
    </w:p>
    <w:p w:rsidR="005B19D8" w:rsidRDefault="005B19D8" w:rsidP="00EC42C0">
      <w:pPr>
        <w:pStyle w:val="ListParagraph"/>
        <w:numPr>
          <w:ilvl w:val="0"/>
          <w:numId w:val="15"/>
        </w:numPr>
        <w:ind w:left="426" w:hanging="426"/>
        <w:jc w:val="both"/>
        <w:rPr>
          <w:rFonts w:ascii="Arial" w:hAnsi="Arial" w:cs="Arial"/>
        </w:rPr>
      </w:pPr>
      <w:r>
        <w:rPr>
          <w:rFonts w:ascii="Arial" w:hAnsi="Arial" w:cs="Arial"/>
          <w:lang w:eastAsia="zh-TW"/>
        </w:rPr>
        <w:t>For e</w:t>
      </w:r>
      <w:r w:rsidRPr="00411312">
        <w:rPr>
          <w:rFonts w:ascii="Arial" w:hAnsi="Arial" w:cs="Arial"/>
          <w:lang w:eastAsia="zh-TW"/>
        </w:rPr>
        <w:t xml:space="preserve">nterprises </w:t>
      </w:r>
      <w:r>
        <w:rPr>
          <w:rFonts w:ascii="Arial" w:hAnsi="Arial" w:cs="Arial"/>
        </w:rPr>
        <w:t>that</w:t>
      </w:r>
      <w:r w:rsidRPr="00411312">
        <w:rPr>
          <w:rFonts w:ascii="Arial" w:hAnsi="Arial" w:cs="Arial"/>
          <w:lang w:eastAsia="zh-TW"/>
        </w:rPr>
        <w:t xml:space="preserve"> </w:t>
      </w:r>
      <w:r>
        <w:rPr>
          <w:rFonts w:ascii="Arial" w:hAnsi="Arial" w:cs="Arial"/>
        </w:rPr>
        <w:t>file</w:t>
      </w:r>
      <w:r w:rsidRPr="00411312">
        <w:rPr>
          <w:rFonts w:ascii="Arial" w:hAnsi="Arial" w:cs="Arial"/>
          <w:lang w:eastAsia="zh-TW"/>
        </w:rPr>
        <w:t xml:space="preserve"> related party transactions, </w:t>
      </w:r>
      <w:r>
        <w:rPr>
          <w:rFonts w:ascii="Arial" w:hAnsi="Arial" w:cs="Arial"/>
        </w:rPr>
        <w:t>submit</w:t>
      </w:r>
      <w:r>
        <w:rPr>
          <w:rFonts w:ascii="Arial" w:hAnsi="Arial" w:cs="Arial"/>
          <w:lang w:eastAsia="zh-TW"/>
        </w:rPr>
        <w:t xml:space="preserve"> contemporaneous documentation and other relevant information</w:t>
      </w:r>
      <w:r w:rsidRPr="00EE11BE">
        <w:rPr>
          <w:rFonts w:ascii="Arial" w:hAnsi="Arial" w:cs="Arial"/>
          <w:lang w:eastAsia="zh-TW"/>
        </w:rPr>
        <w:t xml:space="preserve"> </w:t>
      </w:r>
      <w:r>
        <w:rPr>
          <w:rFonts w:ascii="Arial" w:hAnsi="Arial" w:cs="Arial"/>
        </w:rPr>
        <w:t>in accordance with</w:t>
      </w:r>
      <w:r>
        <w:rPr>
          <w:rFonts w:ascii="Arial" w:hAnsi="Arial" w:cs="Arial"/>
          <w:lang w:eastAsia="zh-TW"/>
        </w:rPr>
        <w:t xml:space="preserve"> relevant </w:t>
      </w:r>
      <w:r>
        <w:rPr>
          <w:rFonts w:ascii="Arial" w:hAnsi="Arial" w:cs="Arial"/>
        </w:rPr>
        <w:t>provisions</w:t>
      </w:r>
      <w:r w:rsidRPr="00411312">
        <w:rPr>
          <w:rFonts w:ascii="Arial" w:hAnsi="Arial" w:cs="Arial"/>
          <w:lang w:eastAsia="zh-TW"/>
        </w:rPr>
        <w:t>,</w:t>
      </w:r>
      <w:r w:rsidRPr="00411312">
        <w:rPr>
          <w:rFonts w:ascii="Arial" w:hAnsi="Arial" w:cs="Arial"/>
        </w:rPr>
        <w:t xml:space="preserve"> </w:t>
      </w:r>
      <w:r>
        <w:rPr>
          <w:rFonts w:ascii="Arial" w:hAnsi="Arial" w:cs="Arial"/>
        </w:rPr>
        <w:t xml:space="preserve">when additional tax is imposed by the tax administrations during the special tax investigation, an interest can be levied based on the People’s Bank of China central base lending rates for the same period to which the tax payment is related, in accordance with the provisions under Article 122 of the implementation regulations of the Enterprise Income Tax Law. </w:t>
      </w:r>
    </w:p>
    <w:p w:rsidR="005B19D8" w:rsidRPr="007A7A84" w:rsidRDefault="005B19D8" w:rsidP="004132A5">
      <w:pPr>
        <w:pStyle w:val="ListParagraph"/>
        <w:rPr>
          <w:rFonts w:ascii="Arial" w:hAnsi="Arial" w:cs="Arial"/>
        </w:rPr>
      </w:pPr>
    </w:p>
    <w:p w:rsidR="005B19D8" w:rsidRPr="00411312" w:rsidRDefault="005B19D8" w:rsidP="00EC42C0">
      <w:pPr>
        <w:pStyle w:val="ListParagraph"/>
        <w:numPr>
          <w:ilvl w:val="0"/>
          <w:numId w:val="15"/>
        </w:numPr>
        <w:ind w:left="426" w:hanging="426"/>
        <w:jc w:val="both"/>
        <w:rPr>
          <w:rFonts w:ascii="Arial" w:hAnsi="Arial" w:cs="Arial"/>
        </w:rPr>
      </w:pPr>
      <w:r>
        <w:rPr>
          <w:rFonts w:ascii="Arial" w:hAnsi="Arial" w:cs="Arial"/>
        </w:rPr>
        <w:t>This Public Notice also applies to transactions with related parties in Hong Kong, Macau and Taiwan.</w:t>
      </w:r>
    </w:p>
    <w:p w:rsidR="005B19D8" w:rsidRPr="00411312" w:rsidRDefault="005B19D8" w:rsidP="004132A5">
      <w:pPr>
        <w:pStyle w:val="ListParagraph"/>
        <w:rPr>
          <w:rFonts w:ascii="Arial" w:hAnsi="Arial" w:cs="Arial"/>
        </w:rPr>
      </w:pPr>
    </w:p>
    <w:p w:rsidR="005B19D8" w:rsidRPr="00411312" w:rsidRDefault="005B19D8" w:rsidP="00EC42C0">
      <w:pPr>
        <w:pStyle w:val="ListParagraph"/>
        <w:numPr>
          <w:ilvl w:val="0"/>
          <w:numId w:val="15"/>
        </w:numPr>
        <w:ind w:left="426" w:hanging="426"/>
        <w:jc w:val="both"/>
        <w:rPr>
          <w:rFonts w:ascii="Arial" w:hAnsi="Arial" w:cs="Arial"/>
        </w:rPr>
      </w:pPr>
      <w:r w:rsidRPr="00411312">
        <w:rPr>
          <w:rFonts w:ascii="Arial" w:hAnsi="Arial" w:cs="Arial"/>
        </w:rPr>
        <w:t xml:space="preserve">This </w:t>
      </w:r>
      <w:r>
        <w:rPr>
          <w:rFonts w:ascii="Arial" w:hAnsi="Arial" w:cs="Arial"/>
        </w:rPr>
        <w:t>Public Notice</w:t>
      </w:r>
      <w:r w:rsidRPr="00411312">
        <w:rPr>
          <w:rFonts w:ascii="Arial" w:hAnsi="Arial" w:cs="Arial"/>
        </w:rPr>
        <w:t xml:space="preserve"> </w:t>
      </w:r>
      <w:r>
        <w:rPr>
          <w:rFonts w:ascii="Arial" w:hAnsi="Arial" w:cs="Arial"/>
        </w:rPr>
        <w:t xml:space="preserve">shall become effective from 2016 and onwards.  Chapter 2, Chapter </w:t>
      </w:r>
      <w:r w:rsidRPr="00411312">
        <w:rPr>
          <w:rFonts w:ascii="Arial" w:hAnsi="Arial" w:cs="Arial"/>
        </w:rPr>
        <w:t xml:space="preserve">3, Article 74 and </w:t>
      </w:r>
      <w:r>
        <w:rPr>
          <w:rFonts w:ascii="Arial" w:hAnsi="Arial" w:cs="Arial"/>
        </w:rPr>
        <w:t xml:space="preserve">Article </w:t>
      </w:r>
      <w:r w:rsidRPr="00411312">
        <w:rPr>
          <w:rFonts w:ascii="Arial" w:hAnsi="Arial" w:cs="Arial"/>
        </w:rPr>
        <w:t>89</w:t>
      </w:r>
      <w:r>
        <w:rPr>
          <w:rFonts w:ascii="Arial" w:hAnsi="Arial" w:cs="Arial"/>
        </w:rPr>
        <w:t xml:space="preserve"> of</w:t>
      </w:r>
      <w:r w:rsidRPr="00411312">
        <w:rPr>
          <w:rFonts w:ascii="Arial" w:hAnsi="Arial" w:cs="Arial"/>
        </w:rPr>
        <w:t xml:space="preserve"> the “Implementation Measures of Special Tax Adjustments (Trial Version)” (Gu</w:t>
      </w:r>
      <w:r>
        <w:rPr>
          <w:rFonts w:ascii="Arial" w:hAnsi="Arial" w:cs="Arial"/>
        </w:rPr>
        <w:t>o</w:t>
      </w:r>
      <w:r w:rsidRPr="00411312">
        <w:rPr>
          <w:rFonts w:ascii="Arial" w:hAnsi="Arial" w:cs="Arial"/>
        </w:rPr>
        <w:t xml:space="preserve"> Shui Fa [2009] No.2), the “</w:t>
      </w:r>
      <w:r w:rsidRPr="003911F0">
        <w:rPr>
          <w:rFonts w:ascii="Arial" w:hAnsi="Arial" w:cs="Arial"/>
        </w:rPr>
        <w:t xml:space="preserve">People’s Republic of China </w:t>
      </w:r>
      <w:r>
        <w:rPr>
          <w:rFonts w:ascii="Arial" w:hAnsi="Arial" w:cs="Arial"/>
        </w:rPr>
        <w:t xml:space="preserve">Enterprise Annual Reporting Forms for </w:t>
      </w:r>
      <w:r w:rsidRPr="003911F0">
        <w:rPr>
          <w:rFonts w:ascii="Arial" w:hAnsi="Arial" w:cs="Arial"/>
        </w:rPr>
        <w:t xml:space="preserve">Related-Party </w:t>
      </w:r>
      <w:r>
        <w:rPr>
          <w:rFonts w:ascii="Arial" w:hAnsi="Arial" w:cs="Arial"/>
        </w:rPr>
        <w:t>Transactions</w:t>
      </w:r>
      <w:r w:rsidRPr="00411312">
        <w:rPr>
          <w:rFonts w:ascii="Arial" w:hAnsi="Arial" w:cs="Arial"/>
        </w:rPr>
        <w:t>” (</w:t>
      </w:r>
      <w:r>
        <w:rPr>
          <w:rFonts w:ascii="Arial" w:hAnsi="Arial" w:cs="Arial"/>
        </w:rPr>
        <w:t xml:space="preserve">released with </w:t>
      </w:r>
      <w:r w:rsidRPr="00411312">
        <w:rPr>
          <w:rFonts w:ascii="Arial" w:hAnsi="Arial" w:cs="Arial"/>
        </w:rPr>
        <w:t>Guo Shui Fa [2008] No.114) sha</w:t>
      </w:r>
      <w:r>
        <w:rPr>
          <w:rFonts w:ascii="Arial" w:hAnsi="Arial" w:cs="Arial"/>
        </w:rPr>
        <w:t xml:space="preserve">ll be annulled as of the same date.  </w:t>
      </w:r>
    </w:p>
    <w:p w:rsidR="005B19D8" w:rsidRDefault="005B19D8" w:rsidP="004132A5">
      <w:pPr>
        <w:keepNext/>
        <w:spacing w:before="240" w:after="0" w:line="240" w:lineRule="auto"/>
        <w:jc w:val="both"/>
        <w:rPr>
          <w:rFonts w:ascii="Arial" w:hAnsi="Arial" w:cs="Arial"/>
        </w:rPr>
      </w:pPr>
    </w:p>
    <w:p w:rsidR="005B19D8" w:rsidRDefault="005B19D8" w:rsidP="004132A5">
      <w:pPr>
        <w:keepNext/>
        <w:spacing w:before="240" w:after="0" w:line="240" w:lineRule="auto"/>
        <w:jc w:val="both"/>
        <w:rPr>
          <w:rFonts w:ascii="Arial" w:hAnsi="Arial" w:cs="Arial"/>
        </w:rPr>
      </w:pPr>
      <w:r>
        <w:rPr>
          <w:rFonts w:ascii="Arial" w:hAnsi="Arial" w:cs="Arial"/>
        </w:rPr>
        <w:t xml:space="preserve">Appendix: </w:t>
      </w:r>
    </w:p>
    <w:p w:rsidR="005B19D8" w:rsidRPr="003911F0" w:rsidRDefault="005B19D8" w:rsidP="004132A5">
      <w:pPr>
        <w:keepNext/>
        <w:spacing w:before="240" w:after="0" w:line="240" w:lineRule="auto"/>
        <w:ind w:left="336" w:hanging="336"/>
        <w:jc w:val="both"/>
        <w:rPr>
          <w:rFonts w:ascii="Arial" w:hAnsi="Arial" w:cs="Arial"/>
        </w:rPr>
      </w:pPr>
      <w:r>
        <w:rPr>
          <w:rFonts w:ascii="Arial" w:hAnsi="Arial" w:cs="Arial"/>
        </w:rPr>
        <w:t xml:space="preserve">(1) </w:t>
      </w:r>
      <w:r w:rsidRPr="003911F0">
        <w:rPr>
          <w:rFonts w:ascii="Arial" w:hAnsi="Arial" w:cs="Arial"/>
        </w:rPr>
        <w:t xml:space="preserve">People’s Republic of China </w:t>
      </w:r>
      <w:r>
        <w:rPr>
          <w:rFonts w:ascii="Arial" w:hAnsi="Arial" w:cs="Arial"/>
        </w:rPr>
        <w:t xml:space="preserve">Enterprise Annual Reporting Forms for </w:t>
      </w:r>
      <w:r w:rsidRPr="003911F0">
        <w:rPr>
          <w:rFonts w:ascii="Arial" w:hAnsi="Arial" w:cs="Arial"/>
        </w:rPr>
        <w:t xml:space="preserve">Related-Party </w:t>
      </w:r>
      <w:r>
        <w:rPr>
          <w:rFonts w:ascii="Arial" w:hAnsi="Arial" w:cs="Arial"/>
        </w:rPr>
        <w:t>Transactions</w:t>
      </w:r>
      <w:r w:rsidRPr="003911F0">
        <w:rPr>
          <w:rFonts w:ascii="Arial" w:hAnsi="Arial" w:cs="Arial"/>
        </w:rPr>
        <w:t xml:space="preserve"> (2016 version)</w:t>
      </w:r>
    </w:p>
    <w:p w:rsidR="005B19D8" w:rsidRPr="00675122" w:rsidRDefault="005B19D8" w:rsidP="004132A5">
      <w:pPr>
        <w:keepNext/>
        <w:spacing w:before="240" w:after="0" w:line="240" w:lineRule="auto"/>
        <w:ind w:left="336" w:hanging="336"/>
        <w:jc w:val="both"/>
        <w:rPr>
          <w:rFonts w:cs="Times New Roman"/>
        </w:rPr>
      </w:pPr>
      <w:r>
        <w:rPr>
          <w:rFonts w:ascii="Arial" w:hAnsi="Arial" w:cs="Arial"/>
        </w:rPr>
        <w:t xml:space="preserve">(2) Filing </w:t>
      </w:r>
      <w:r w:rsidRPr="003911F0">
        <w:rPr>
          <w:rFonts w:ascii="Arial" w:hAnsi="Arial" w:cs="Arial"/>
        </w:rPr>
        <w:t xml:space="preserve">Instructions </w:t>
      </w:r>
      <w:r>
        <w:rPr>
          <w:rFonts w:ascii="Arial" w:hAnsi="Arial" w:cs="Arial"/>
        </w:rPr>
        <w:t>to</w:t>
      </w:r>
      <w:r w:rsidRPr="003911F0">
        <w:rPr>
          <w:rFonts w:ascii="Arial" w:hAnsi="Arial" w:cs="Arial"/>
        </w:rPr>
        <w:t xml:space="preserve"> “People’s Republic of China </w:t>
      </w:r>
      <w:r>
        <w:rPr>
          <w:rFonts w:ascii="Arial" w:hAnsi="Arial" w:cs="Arial"/>
        </w:rPr>
        <w:t xml:space="preserve">Enterprise Annual Reporting Forms for </w:t>
      </w:r>
      <w:r w:rsidRPr="003911F0">
        <w:rPr>
          <w:rFonts w:ascii="Arial" w:hAnsi="Arial" w:cs="Arial"/>
        </w:rPr>
        <w:t xml:space="preserve">Related-Party </w:t>
      </w:r>
      <w:r>
        <w:rPr>
          <w:rFonts w:ascii="Arial" w:hAnsi="Arial" w:cs="Arial"/>
        </w:rPr>
        <w:t>Transactions</w:t>
      </w:r>
      <w:r w:rsidRPr="003911F0">
        <w:rPr>
          <w:rFonts w:ascii="Arial" w:hAnsi="Arial" w:cs="Arial"/>
        </w:rPr>
        <w:t xml:space="preserve"> (2016 version)”</w:t>
      </w:r>
    </w:p>
    <w:p w:rsidR="005B19D8" w:rsidRPr="003911F0" w:rsidRDefault="005B19D8" w:rsidP="004132A5">
      <w:pPr>
        <w:keepNext/>
        <w:spacing w:before="240" w:after="0" w:line="240" w:lineRule="auto"/>
        <w:jc w:val="right"/>
        <w:rPr>
          <w:rFonts w:ascii="Arial" w:hAnsi="Arial" w:cs="Arial"/>
        </w:rPr>
      </w:pPr>
    </w:p>
    <w:p w:rsidR="005B19D8" w:rsidRDefault="005B19D8" w:rsidP="004132A5">
      <w:pPr>
        <w:spacing w:after="0" w:line="240" w:lineRule="auto"/>
        <w:ind w:right="442"/>
        <w:jc w:val="right"/>
        <w:rPr>
          <w:rFonts w:ascii="Arial" w:hAnsi="Arial" w:cs="Arial"/>
        </w:rPr>
      </w:pPr>
    </w:p>
    <w:p w:rsidR="005B19D8" w:rsidRDefault="005B19D8" w:rsidP="004132A5">
      <w:pPr>
        <w:spacing w:after="0" w:line="240" w:lineRule="auto"/>
        <w:ind w:right="-58"/>
        <w:jc w:val="right"/>
        <w:rPr>
          <w:rFonts w:ascii="Arial" w:hAnsi="Arial" w:cs="Arial"/>
        </w:rPr>
      </w:pPr>
      <w:r>
        <w:rPr>
          <w:rFonts w:ascii="Arial" w:hAnsi="Arial" w:cs="Arial"/>
        </w:rPr>
        <w:t>State Administration of Taxation</w:t>
      </w:r>
    </w:p>
    <w:p w:rsidR="005B19D8" w:rsidRDefault="005B19D8" w:rsidP="004132A5">
      <w:pPr>
        <w:spacing w:after="0" w:line="240" w:lineRule="auto"/>
        <w:ind w:right="-37"/>
        <w:jc w:val="right"/>
        <w:rPr>
          <w:rFonts w:ascii="Arial" w:hAnsi="Arial" w:cs="Arial"/>
        </w:rPr>
      </w:pPr>
      <w:r>
        <w:rPr>
          <w:rFonts w:ascii="Arial" w:hAnsi="Arial" w:cs="Arial"/>
        </w:rPr>
        <w:t>29 June 2016</w:t>
      </w:r>
    </w:p>
    <w:p w:rsidR="005B19D8" w:rsidRDefault="005B19D8" w:rsidP="004132A5">
      <w:pPr>
        <w:spacing w:before="240" w:after="0" w:line="240" w:lineRule="auto"/>
        <w:ind w:right="440"/>
        <w:rPr>
          <w:rFonts w:ascii="Arial" w:hAnsi="Arial" w:cs="Arial"/>
        </w:rPr>
      </w:pPr>
    </w:p>
    <w:p w:rsidR="005B19D8" w:rsidRDefault="005B19D8" w:rsidP="004132A5">
      <w:pPr>
        <w:spacing w:before="240" w:after="0" w:line="240" w:lineRule="auto"/>
        <w:jc w:val="right"/>
        <w:rPr>
          <w:rFonts w:ascii="Arial" w:hAnsi="Arial" w:cs="Arial"/>
        </w:rPr>
      </w:pPr>
    </w:p>
    <w:p w:rsidR="005B19D8" w:rsidRDefault="005B19D8" w:rsidP="004132A5">
      <w:pPr>
        <w:spacing w:before="240" w:after="0" w:line="240" w:lineRule="auto"/>
        <w:jc w:val="right"/>
        <w:rPr>
          <w:rFonts w:ascii="Arial" w:hAnsi="Arial" w:cs="Arial"/>
        </w:rPr>
      </w:pPr>
    </w:p>
    <w:p w:rsidR="005B19D8" w:rsidRDefault="005B19D8" w:rsidP="004132A5">
      <w:pPr>
        <w:spacing w:before="240" w:after="0" w:line="240" w:lineRule="auto"/>
        <w:jc w:val="both"/>
        <w:rPr>
          <w:rFonts w:ascii="Arial" w:hAnsi="Arial" w:cs="Arial"/>
        </w:rPr>
      </w:pPr>
    </w:p>
    <w:p w:rsidR="005B19D8" w:rsidRPr="001176F3" w:rsidRDefault="005B19D8" w:rsidP="004132A5">
      <w:pPr>
        <w:spacing w:before="240" w:after="0" w:line="240" w:lineRule="auto"/>
        <w:jc w:val="both"/>
        <w:rPr>
          <w:rFonts w:ascii="Arial" w:hAnsi="Arial" w:cs="Arial"/>
        </w:rPr>
      </w:pPr>
    </w:p>
    <w:p w:rsidR="005B19D8" w:rsidRPr="001176F3" w:rsidRDefault="005B19D8" w:rsidP="004132A5">
      <w:pPr>
        <w:spacing w:before="240" w:after="0" w:line="240" w:lineRule="auto"/>
        <w:jc w:val="both"/>
        <w:rPr>
          <w:rFonts w:ascii="Arial" w:hAnsi="Arial" w:cs="Arial"/>
        </w:rPr>
      </w:pPr>
    </w:p>
    <w:p w:rsidR="005B19D8" w:rsidRPr="004132A5" w:rsidRDefault="005B19D8">
      <w:pPr>
        <w:rPr>
          <w:rFonts w:cs="Times New Roman"/>
        </w:rPr>
      </w:pPr>
    </w:p>
    <w:sectPr w:rsidR="005B19D8" w:rsidRPr="004132A5" w:rsidSect="003C7EF1">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D8" w:rsidRDefault="005B19D8" w:rsidP="004132A5">
      <w:pPr>
        <w:spacing w:after="0" w:line="240" w:lineRule="auto"/>
        <w:rPr>
          <w:rFonts w:cs="Times New Roman"/>
        </w:rPr>
      </w:pPr>
      <w:r>
        <w:rPr>
          <w:rFonts w:cs="Times New Roman"/>
        </w:rPr>
        <w:separator/>
      </w:r>
    </w:p>
  </w:endnote>
  <w:endnote w:type="continuationSeparator" w:id="0">
    <w:p w:rsidR="005B19D8" w:rsidRDefault="005B19D8" w:rsidP="004132A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0000000000000000000"/>
    <w:charset w:val="86"/>
    <w:family w:val="roman"/>
    <w:notTrueType/>
    <w:pitch w:val="default"/>
    <w:sig w:usb0="00000000" w:usb1="080E0000" w:usb2="00000010" w:usb3="00000000" w:csb0="00040000" w:csb1="00000000"/>
  </w:font>
  <w:font w:name="FangSong_GB2312">
    <w:altName w:val="Arial Unicode MS"/>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D8" w:rsidRPr="000570BE" w:rsidRDefault="005B19D8">
    <w:pPr>
      <w:pStyle w:val="Footer"/>
      <w:jc w:val="right"/>
      <w:rPr>
        <w:rFonts w:ascii="Arial" w:hAnsi="Arial" w:cs="Arial"/>
      </w:rPr>
    </w:pPr>
    <w:r w:rsidRPr="000570BE">
      <w:rPr>
        <w:rFonts w:ascii="Arial" w:hAnsi="Arial" w:cs="Arial"/>
      </w:rPr>
      <w:fldChar w:fldCharType="begin"/>
    </w:r>
    <w:r w:rsidRPr="000570BE">
      <w:rPr>
        <w:rFonts w:ascii="Arial" w:hAnsi="Arial" w:cs="Arial"/>
      </w:rPr>
      <w:instrText xml:space="preserve"> PAGE   \* MERGEFORMAT </w:instrText>
    </w:r>
    <w:r w:rsidRPr="000570BE">
      <w:rPr>
        <w:rFonts w:ascii="Arial" w:hAnsi="Arial" w:cs="Arial"/>
      </w:rPr>
      <w:fldChar w:fldCharType="separate"/>
    </w:r>
    <w:r w:rsidR="00DC0873">
      <w:rPr>
        <w:rFonts w:ascii="Arial" w:hAnsi="Arial" w:cs="Arial"/>
        <w:noProof/>
      </w:rPr>
      <w:t>2</w:t>
    </w:r>
    <w:r w:rsidRPr="000570BE">
      <w:rPr>
        <w:rFonts w:ascii="Arial" w:hAnsi="Arial" w:cs="Arial"/>
      </w:rPr>
      <w:fldChar w:fldCharType="end"/>
    </w:r>
  </w:p>
  <w:p w:rsidR="005B19D8" w:rsidRDefault="005B19D8">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D8" w:rsidRDefault="005B19D8" w:rsidP="004132A5">
      <w:pPr>
        <w:spacing w:after="0" w:line="240" w:lineRule="auto"/>
        <w:rPr>
          <w:rFonts w:cs="Times New Roman"/>
        </w:rPr>
      </w:pPr>
      <w:r>
        <w:rPr>
          <w:rFonts w:cs="Times New Roman"/>
        </w:rPr>
        <w:separator/>
      </w:r>
    </w:p>
  </w:footnote>
  <w:footnote w:type="continuationSeparator" w:id="0">
    <w:p w:rsidR="005B19D8" w:rsidRDefault="005B19D8" w:rsidP="004132A5">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050FA9C"/>
    <w:lvl w:ilvl="0">
      <w:start w:val="1"/>
      <w:numFmt w:val="decimal"/>
      <w:lvlText w:val="%1."/>
      <w:lvlJc w:val="left"/>
      <w:pPr>
        <w:tabs>
          <w:tab w:val="num" w:pos="780"/>
        </w:tabs>
        <w:ind w:left="780" w:hanging="360"/>
      </w:pPr>
    </w:lvl>
  </w:abstractNum>
  <w:abstractNum w:abstractNumId="1">
    <w:nsid w:val="FFFFFF88"/>
    <w:multiLevelType w:val="singleLevel"/>
    <w:tmpl w:val="2FAA194C"/>
    <w:lvl w:ilvl="0">
      <w:start w:val="1"/>
      <w:numFmt w:val="decimal"/>
      <w:pStyle w:val="ListNumber2"/>
      <w:lvlText w:val="%1."/>
      <w:lvlJc w:val="left"/>
      <w:pPr>
        <w:tabs>
          <w:tab w:val="num" w:pos="360"/>
        </w:tabs>
        <w:ind w:left="360" w:hanging="360"/>
      </w:pPr>
      <w:rPr>
        <w:rFonts w:ascii="Arial" w:hAnsi="Arial" w:cs="Arial" w:hint="default"/>
      </w:rPr>
    </w:lvl>
  </w:abstractNum>
  <w:abstractNum w:abstractNumId="2">
    <w:nsid w:val="009C15CD"/>
    <w:multiLevelType w:val="hybridMultilevel"/>
    <w:tmpl w:val="CF2C452C"/>
    <w:lvl w:ilvl="0" w:tplc="F9582F4C">
      <w:start w:val="1"/>
      <w:numFmt w:val="lowerRoman"/>
      <w:lvlText w:val="(%1)"/>
      <w:lvlJc w:val="left"/>
      <w:pPr>
        <w:tabs>
          <w:tab w:val="num" w:pos="720"/>
        </w:tabs>
        <w:ind w:left="72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
    <w:nsid w:val="01A67BBC"/>
    <w:multiLevelType w:val="hybridMultilevel"/>
    <w:tmpl w:val="59F0E4F8"/>
    <w:lvl w:ilvl="0" w:tplc="9B6E7BB6">
      <w:start w:val="1"/>
      <w:numFmt w:val="decimal"/>
      <w:lvlText w:val="(%1)"/>
      <w:lvlJc w:val="left"/>
      <w:pPr>
        <w:ind w:left="1592" w:hanging="360"/>
      </w:pPr>
      <w:rPr>
        <w:rFonts w:hint="default"/>
      </w:rPr>
    </w:lvl>
    <w:lvl w:ilvl="1" w:tplc="08090019">
      <w:start w:val="1"/>
      <w:numFmt w:val="lowerLetter"/>
      <w:lvlText w:val="%2."/>
      <w:lvlJc w:val="left"/>
      <w:pPr>
        <w:ind w:left="2312" w:hanging="360"/>
      </w:pPr>
    </w:lvl>
    <w:lvl w:ilvl="2" w:tplc="0809001B">
      <w:start w:val="1"/>
      <w:numFmt w:val="lowerRoman"/>
      <w:lvlText w:val="%3."/>
      <w:lvlJc w:val="right"/>
      <w:pPr>
        <w:ind w:left="3032" w:hanging="180"/>
      </w:pPr>
    </w:lvl>
    <w:lvl w:ilvl="3" w:tplc="0809000F">
      <w:start w:val="1"/>
      <w:numFmt w:val="decimal"/>
      <w:lvlText w:val="%4."/>
      <w:lvlJc w:val="left"/>
      <w:pPr>
        <w:ind w:left="3752" w:hanging="360"/>
      </w:pPr>
    </w:lvl>
    <w:lvl w:ilvl="4" w:tplc="08090019">
      <w:start w:val="1"/>
      <w:numFmt w:val="lowerLetter"/>
      <w:lvlText w:val="%5."/>
      <w:lvlJc w:val="left"/>
      <w:pPr>
        <w:ind w:left="4472" w:hanging="360"/>
      </w:pPr>
    </w:lvl>
    <w:lvl w:ilvl="5" w:tplc="0809001B">
      <w:start w:val="1"/>
      <w:numFmt w:val="lowerRoman"/>
      <w:lvlText w:val="%6."/>
      <w:lvlJc w:val="right"/>
      <w:pPr>
        <w:ind w:left="5192" w:hanging="180"/>
      </w:pPr>
    </w:lvl>
    <w:lvl w:ilvl="6" w:tplc="0809000F">
      <w:start w:val="1"/>
      <w:numFmt w:val="decimal"/>
      <w:lvlText w:val="%7."/>
      <w:lvlJc w:val="left"/>
      <w:pPr>
        <w:ind w:left="5912" w:hanging="360"/>
      </w:pPr>
    </w:lvl>
    <w:lvl w:ilvl="7" w:tplc="08090019">
      <w:start w:val="1"/>
      <w:numFmt w:val="lowerLetter"/>
      <w:lvlText w:val="%8."/>
      <w:lvlJc w:val="left"/>
      <w:pPr>
        <w:ind w:left="6632" w:hanging="360"/>
      </w:pPr>
    </w:lvl>
    <w:lvl w:ilvl="8" w:tplc="0809001B">
      <w:start w:val="1"/>
      <w:numFmt w:val="lowerRoman"/>
      <w:lvlText w:val="%9."/>
      <w:lvlJc w:val="right"/>
      <w:pPr>
        <w:ind w:left="7352" w:hanging="180"/>
      </w:pPr>
    </w:lvl>
  </w:abstractNum>
  <w:abstractNum w:abstractNumId="4">
    <w:nsid w:val="05927116"/>
    <w:multiLevelType w:val="hybridMultilevel"/>
    <w:tmpl w:val="59F0E4F8"/>
    <w:lvl w:ilvl="0" w:tplc="9B6E7BB6">
      <w:start w:val="1"/>
      <w:numFmt w:val="decimal"/>
      <w:lvlText w:val="(%1)"/>
      <w:lvlJc w:val="left"/>
      <w:pPr>
        <w:ind w:left="1592" w:hanging="360"/>
      </w:pPr>
      <w:rPr>
        <w:rFonts w:hint="default"/>
      </w:rPr>
    </w:lvl>
    <w:lvl w:ilvl="1" w:tplc="08090019">
      <w:start w:val="1"/>
      <w:numFmt w:val="lowerLetter"/>
      <w:lvlText w:val="%2."/>
      <w:lvlJc w:val="left"/>
      <w:pPr>
        <w:ind w:left="2312" w:hanging="360"/>
      </w:pPr>
    </w:lvl>
    <w:lvl w:ilvl="2" w:tplc="0809001B">
      <w:start w:val="1"/>
      <w:numFmt w:val="lowerRoman"/>
      <w:lvlText w:val="%3."/>
      <w:lvlJc w:val="right"/>
      <w:pPr>
        <w:ind w:left="3032" w:hanging="180"/>
      </w:pPr>
    </w:lvl>
    <w:lvl w:ilvl="3" w:tplc="0809000F">
      <w:start w:val="1"/>
      <w:numFmt w:val="decimal"/>
      <w:lvlText w:val="%4."/>
      <w:lvlJc w:val="left"/>
      <w:pPr>
        <w:ind w:left="3752" w:hanging="360"/>
      </w:pPr>
    </w:lvl>
    <w:lvl w:ilvl="4" w:tplc="08090019">
      <w:start w:val="1"/>
      <w:numFmt w:val="lowerLetter"/>
      <w:lvlText w:val="%5."/>
      <w:lvlJc w:val="left"/>
      <w:pPr>
        <w:ind w:left="4472" w:hanging="360"/>
      </w:pPr>
    </w:lvl>
    <w:lvl w:ilvl="5" w:tplc="0809001B">
      <w:start w:val="1"/>
      <w:numFmt w:val="lowerRoman"/>
      <w:lvlText w:val="%6."/>
      <w:lvlJc w:val="right"/>
      <w:pPr>
        <w:ind w:left="5192" w:hanging="180"/>
      </w:pPr>
    </w:lvl>
    <w:lvl w:ilvl="6" w:tplc="0809000F">
      <w:start w:val="1"/>
      <w:numFmt w:val="decimal"/>
      <w:lvlText w:val="%7."/>
      <w:lvlJc w:val="left"/>
      <w:pPr>
        <w:ind w:left="5912" w:hanging="360"/>
      </w:pPr>
    </w:lvl>
    <w:lvl w:ilvl="7" w:tplc="08090019">
      <w:start w:val="1"/>
      <w:numFmt w:val="lowerLetter"/>
      <w:lvlText w:val="%8."/>
      <w:lvlJc w:val="left"/>
      <w:pPr>
        <w:ind w:left="6632" w:hanging="360"/>
      </w:pPr>
    </w:lvl>
    <w:lvl w:ilvl="8" w:tplc="0809001B">
      <w:start w:val="1"/>
      <w:numFmt w:val="lowerRoman"/>
      <w:lvlText w:val="%9."/>
      <w:lvlJc w:val="right"/>
      <w:pPr>
        <w:ind w:left="7352" w:hanging="180"/>
      </w:pPr>
    </w:lvl>
  </w:abstractNum>
  <w:abstractNum w:abstractNumId="5">
    <w:nsid w:val="0F0F6015"/>
    <w:multiLevelType w:val="hybridMultilevel"/>
    <w:tmpl w:val="D8328856"/>
    <w:lvl w:ilvl="0" w:tplc="C88EA4C0">
      <w:start w:val="1"/>
      <w:numFmt w:val="lowerLetter"/>
      <w:lvlText w:val="%1."/>
      <w:lvlJc w:val="left"/>
      <w:pPr>
        <w:ind w:left="107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2150"/>
        </w:tabs>
        <w:ind w:left="2150" w:hanging="360"/>
      </w:pPr>
    </w:lvl>
    <w:lvl w:ilvl="2" w:tplc="0809001B">
      <w:start w:val="1"/>
      <w:numFmt w:val="lowerRoman"/>
      <w:lvlText w:val="%3."/>
      <w:lvlJc w:val="right"/>
      <w:pPr>
        <w:tabs>
          <w:tab w:val="num" w:pos="2870"/>
        </w:tabs>
        <w:ind w:left="2870" w:hanging="180"/>
      </w:pPr>
    </w:lvl>
    <w:lvl w:ilvl="3" w:tplc="0809000F">
      <w:start w:val="1"/>
      <w:numFmt w:val="decimal"/>
      <w:lvlText w:val="%4."/>
      <w:lvlJc w:val="left"/>
      <w:pPr>
        <w:tabs>
          <w:tab w:val="num" w:pos="3590"/>
        </w:tabs>
        <w:ind w:left="3590" w:hanging="360"/>
      </w:pPr>
    </w:lvl>
    <w:lvl w:ilvl="4" w:tplc="08090019">
      <w:start w:val="1"/>
      <w:numFmt w:val="lowerLetter"/>
      <w:lvlText w:val="%5."/>
      <w:lvlJc w:val="left"/>
      <w:pPr>
        <w:tabs>
          <w:tab w:val="num" w:pos="4310"/>
        </w:tabs>
        <w:ind w:left="4310" w:hanging="360"/>
      </w:pPr>
    </w:lvl>
    <w:lvl w:ilvl="5" w:tplc="0809001B">
      <w:start w:val="1"/>
      <w:numFmt w:val="lowerRoman"/>
      <w:lvlText w:val="%6."/>
      <w:lvlJc w:val="right"/>
      <w:pPr>
        <w:tabs>
          <w:tab w:val="num" w:pos="5030"/>
        </w:tabs>
        <w:ind w:left="5030" w:hanging="180"/>
      </w:pPr>
    </w:lvl>
    <w:lvl w:ilvl="6" w:tplc="0809000F">
      <w:start w:val="1"/>
      <w:numFmt w:val="decimal"/>
      <w:lvlText w:val="%7."/>
      <w:lvlJc w:val="left"/>
      <w:pPr>
        <w:tabs>
          <w:tab w:val="num" w:pos="5750"/>
        </w:tabs>
        <w:ind w:left="5750" w:hanging="360"/>
      </w:pPr>
    </w:lvl>
    <w:lvl w:ilvl="7" w:tplc="08090019">
      <w:start w:val="1"/>
      <w:numFmt w:val="lowerLetter"/>
      <w:lvlText w:val="%8."/>
      <w:lvlJc w:val="left"/>
      <w:pPr>
        <w:tabs>
          <w:tab w:val="num" w:pos="6470"/>
        </w:tabs>
        <w:ind w:left="6470" w:hanging="360"/>
      </w:pPr>
    </w:lvl>
    <w:lvl w:ilvl="8" w:tplc="0809001B">
      <w:start w:val="1"/>
      <w:numFmt w:val="lowerRoman"/>
      <w:lvlText w:val="%9."/>
      <w:lvlJc w:val="right"/>
      <w:pPr>
        <w:tabs>
          <w:tab w:val="num" w:pos="7190"/>
        </w:tabs>
        <w:ind w:left="7190" w:hanging="180"/>
      </w:pPr>
    </w:lvl>
  </w:abstractNum>
  <w:abstractNum w:abstractNumId="6">
    <w:nsid w:val="1A490621"/>
    <w:multiLevelType w:val="hybridMultilevel"/>
    <w:tmpl w:val="5B44DD64"/>
    <w:lvl w:ilvl="0" w:tplc="E7ECF7AE">
      <w:start w:val="1"/>
      <w:numFmt w:val="lowerLetter"/>
      <w:lvlText w:val="%1."/>
      <w:lvlJc w:val="left"/>
      <w:pPr>
        <w:ind w:left="107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2150"/>
        </w:tabs>
        <w:ind w:left="2150" w:hanging="360"/>
      </w:pPr>
    </w:lvl>
    <w:lvl w:ilvl="2" w:tplc="0809001B">
      <w:start w:val="1"/>
      <w:numFmt w:val="lowerRoman"/>
      <w:lvlText w:val="%3."/>
      <w:lvlJc w:val="right"/>
      <w:pPr>
        <w:tabs>
          <w:tab w:val="num" w:pos="2870"/>
        </w:tabs>
        <w:ind w:left="2870" w:hanging="180"/>
      </w:pPr>
    </w:lvl>
    <w:lvl w:ilvl="3" w:tplc="0809000F">
      <w:start w:val="1"/>
      <w:numFmt w:val="decimal"/>
      <w:lvlText w:val="%4."/>
      <w:lvlJc w:val="left"/>
      <w:pPr>
        <w:tabs>
          <w:tab w:val="num" w:pos="3590"/>
        </w:tabs>
        <w:ind w:left="3590" w:hanging="360"/>
      </w:pPr>
    </w:lvl>
    <w:lvl w:ilvl="4" w:tplc="08090019">
      <w:start w:val="1"/>
      <w:numFmt w:val="lowerLetter"/>
      <w:lvlText w:val="%5."/>
      <w:lvlJc w:val="left"/>
      <w:pPr>
        <w:tabs>
          <w:tab w:val="num" w:pos="4310"/>
        </w:tabs>
        <w:ind w:left="4310" w:hanging="360"/>
      </w:pPr>
    </w:lvl>
    <w:lvl w:ilvl="5" w:tplc="0809001B">
      <w:start w:val="1"/>
      <w:numFmt w:val="lowerRoman"/>
      <w:lvlText w:val="%6."/>
      <w:lvlJc w:val="right"/>
      <w:pPr>
        <w:tabs>
          <w:tab w:val="num" w:pos="5030"/>
        </w:tabs>
        <w:ind w:left="5030" w:hanging="180"/>
      </w:pPr>
    </w:lvl>
    <w:lvl w:ilvl="6" w:tplc="0809000F">
      <w:start w:val="1"/>
      <w:numFmt w:val="decimal"/>
      <w:lvlText w:val="%7."/>
      <w:lvlJc w:val="left"/>
      <w:pPr>
        <w:tabs>
          <w:tab w:val="num" w:pos="5750"/>
        </w:tabs>
        <w:ind w:left="5750" w:hanging="360"/>
      </w:pPr>
    </w:lvl>
    <w:lvl w:ilvl="7" w:tplc="08090019">
      <w:start w:val="1"/>
      <w:numFmt w:val="lowerLetter"/>
      <w:lvlText w:val="%8."/>
      <w:lvlJc w:val="left"/>
      <w:pPr>
        <w:tabs>
          <w:tab w:val="num" w:pos="6470"/>
        </w:tabs>
        <w:ind w:left="6470" w:hanging="360"/>
      </w:pPr>
    </w:lvl>
    <w:lvl w:ilvl="8" w:tplc="0809001B">
      <w:start w:val="1"/>
      <w:numFmt w:val="lowerRoman"/>
      <w:lvlText w:val="%9."/>
      <w:lvlJc w:val="right"/>
      <w:pPr>
        <w:tabs>
          <w:tab w:val="num" w:pos="7190"/>
        </w:tabs>
        <w:ind w:left="7190" w:hanging="180"/>
      </w:pPr>
    </w:lvl>
  </w:abstractNum>
  <w:abstractNum w:abstractNumId="7">
    <w:nsid w:val="20145746"/>
    <w:multiLevelType w:val="hybridMultilevel"/>
    <w:tmpl w:val="E382AB7A"/>
    <w:lvl w:ilvl="0" w:tplc="D87CC97A">
      <w:start w:val="1"/>
      <w:numFmt w:val="lowerRoman"/>
      <w:lvlText w:val="(%1)"/>
      <w:lvlJc w:val="left"/>
      <w:pPr>
        <w:tabs>
          <w:tab w:val="num" w:pos="720"/>
        </w:tabs>
        <w:ind w:left="72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8">
    <w:nsid w:val="22EE47FA"/>
    <w:multiLevelType w:val="hybridMultilevel"/>
    <w:tmpl w:val="D6AC0E7C"/>
    <w:lvl w:ilvl="0" w:tplc="261AFAA6">
      <w:start w:val="1"/>
      <w:numFmt w:val="lowerLetter"/>
      <w:lvlText w:val="%1."/>
      <w:lvlJc w:val="left"/>
      <w:pPr>
        <w:ind w:left="107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2150"/>
        </w:tabs>
        <w:ind w:left="2150" w:hanging="360"/>
      </w:pPr>
    </w:lvl>
    <w:lvl w:ilvl="2" w:tplc="0809001B">
      <w:start w:val="1"/>
      <w:numFmt w:val="lowerRoman"/>
      <w:lvlText w:val="%3."/>
      <w:lvlJc w:val="right"/>
      <w:pPr>
        <w:tabs>
          <w:tab w:val="num" w:pos="2870"/>
        </w:tabs>
        <w:ind w:left="2870" w:hanging="180"/>
      </w:pPr>
    </w:lvl>
    <w:lvl w:ilvl="3" w:tplc="0809000F">
      <w:start w:val="1"/>
      <w:numFmt w:val="decimal"/>
      <w:lvlText w:val="%4."/>
      <w:lvlJc w:val="left"/>
      <w:pPr>
        <w:tabs>
          <w:tab w:val="num" w:pos="3590"/>
        </w:tabs>
        <w:ind w:left="3590" w:hanging="360"/>
      </w:pPr>
    </w:lvl>
    <w:lvl w:ilvl="4" w:tplc="08090019">
      <w:start w:val="1"/>
      <w:numFmt w:val="lowerLetter"/>
      <w:lvlText w:val="%5."/>
      <w:lvlJc w:val="left"/>
      <w:pPr>
        <w:tabs>
          <w:tab w:val="num" w:pos="4310"/>
        </w:tabs>
        <w:ind w:left="4310" w:hanging="360"/>
      </w:pPr>
    </w:lvl>
    <w:lvl w:ilvl="5" w:tplc="0809001B">
      <w:start w:val="1"/>
      <w:numFmt w:val="lowerRoman"/>
      <w:lvlText w:val="%6."/>
      <w:lvlJc w:val="right"/>
      <w:pPr>
        <w:tabs>
          <w:tab w:val="num" w:pos="5030"/>
        </w:tabs>
        <w:ind w:left="5030" w:hanging="180"/>
      </w:pPr>
    </w:lvl>
    <w:lvl w:ilvl="6" w:tplc="0809000F">
      <w:start w:val="1"/>
      <w:numFmt w:val="decimal"/>
      <w:lvlText w:val="%7."/>
      <w:lvlJc w:val="left"/>
      <w:pPr>
        <w:tabs>
          <w:tab w:val="num" w:pos="5750"/>
        </w:tabs>
        <w:ind w:left="5750" w:hanging="360"/>
      </w:pPr>
    </w:lvl>
    <w:lvl w:ilvl="7" w:tplc="08090019">
      <w:start w:val="1"/>
      <w:numFmt w:val="lowerLetter"/>
      <w:lvlText w:val="%8."/>
      <w:lvlJc w:val="left"/>
      <w:pPr>
        <w:tabs>
          <w:tab w:val="num" w:pos="6470"/>
        </w:tabs>
        <w:ind w:left="6470" w:hanging="360"/>
      </w:pPr>
    </w:lvl>
    <w:lvl w:ilvl="8" w:tplc="0809001B">
      <w:start w:val="1"/>
      <w:numFmt w:val="lowerRoman"/>
      <w:lvlText w:val="%9."/>
      <w:lvlJc w:val="right"/>
      <w:pPr>
        <w:tabs>
          <w:tab w:val="num" w:pos="7190"/>
        </w:tabs>
        <w:ind w:left="7190" w:hanging="180"/>
      </w:pPr>
    </w:lvl>
  </w:abstractNum>
  <w:abstractNum w:abstractNumId="9">
    <w:nsid w:val="291C5853"/>
    <w:multiLevelType w:val="hybridMultilevel"/>
    <w:tmpl w:val="44283E34"/>
    <w:lvl w:ilvl="0" w:tplc="B8F65300">
      <w:start w:val="1"/>
      <w:numFmt w:val="lowerLetter"/>
      <w:lvlText w:val="%1."/>
      <w:lvlJc w:val="left"/>
      <w:pPr>
        <w:ind w:left="107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2150"/>
        </w:tabs>
        <w:ind w:left="2150" w:hanging="360"/>
      </w:pPr>
    </w:lvl>
    <w:lvl w:ilvl="2" w:tplc="0809001B">
      <w:start w:val="1"/>
      <w:numFmt w:val="lowerRoman"/>
      <w:lvlText w:val="%3."/>
      <w:lvlJc w:val="right"/>
      <w:pPr>
        <w:tabs>
          <w:tab w:val="num" w:pos="2870"/>
        </w:tabs>
        <w:ind w:left="2870" w:hanging="180"/>
      </w:pPr>
    </w:lvl>
    <w:lvl w:ilvl="3" w:tplc="0809000F">
      <w:start w:val="1"/>
      <w:numFmt w:val="decimal"/>
      <w:lvlText w:val="%4."/>
      <w:lvlJc w:val="left"/>
      <w:pPr>
        <w:tabs>
          <w:tab w:val="num" w:pos="3590"/>
        </w:tabs>
        <w:ind w:left="3590" w:hanging="360"/>
      </w:pPr>
    </w:lvl>
    <w:lvl w:ilvl="4" w:tplc="08090019">
      <w:start w:val="1"/>
      <w:numFmt w:val="lowerLetter"/>
      <w:lvlText w:val="%5."/>
      <w:lvlJc w:val="left"/>
      <w:pPr>
        <w:tabs>
          <w:tab w:val="num" w:pos="4310"/>
        </w:tabs>
        <w:ind w:left="4310" w:hanging="360"/>
      </w:pPr>
    </w:lvl>
    <w:lvl w:ilvl="5" w:tplc="0809001B">
      <w:start w:val="1"/>
      <w:numFmt w:val="lowerRoman"/>
      <w:lvlText w:val="%6."/>
      <w:lvlJc w:val="right"/>
      <w:pPr>
        <w:tabs>
          <w:tab w:val="num" w:pos="5030"/>
        </w:tabs>
        <w:ind w:left="5030" w:hanging="180"/>
      </w:pPr>
    </w:lvl>
    <w:lvl w:ilvl="6" w:tplc="0809000F">
      <w:start w:val="1"/>
      <w:numFmt w:val="decimal"/>
      <w:lvlText w:val="%7."/>
      <w:lvlJc w:val="left"/>
      <w:pPr>
        <w:tabs>
          <w:tab w:val="num" w:pos="5750"/>
        </w:tabs>
        <w:ind w:left="5750" w:hanging="360"/>
      </w:pPr>
    </w:lvl>
    <w:lvl w:ilvl="7" w:tplc="08090019">
      <w:start w:val="1"/>
      <w:numFmt w:val="lowerLetter"/>
      <w:lvlText w:val="%8."/>
      <w:lvlJc w:val="left"/>
      <w:pPr>
        <w:tabs>
          <w:tab w:val="num" w:pos="6470"/>
        </w:tabs>
        <w:ind w:left="6470" w:hanging="360"/>
      </w:pPr>
    </w:lvl>
    <w:lvl w:ilvl="8" w:tplc="0809001B">
      <w:start w:val="1"/>
      <w:numFmt w:val="lowerRoman"/>
      <w:lvlText w:val="%9."/>
      <w:lvlJc w:val="right"/>
      <w:pPr>
        <w:tabs>
          <w:tab w:val="num" w:pos="7190"/>
        </w:tabs>
        <w:ind w:left="7190" w:hanging="180"/>
      </w:pPr>
    </w:lvl>
  </w:abstractNum>
  <w:abstractNum w:abstractNumId="10">
    <w:nsid w:val="2DFF4D3E"/>
    <w:multiLevelType w:val="hybridMultilevel"/>
    <w:tmpl w:val="59F0E4F8"/>
    <w:lvl w:ilvl="0" w:tplc="9B6E7BB6">
      <w:start w:val="1"/>
      <w:numFmt w:val="decimal"/>
      <w:lvlText w:val="(%1)"/>
      <w:lvlJc w:val="left"/>
      <w:pPr>
        <w:ind w:left="1592" w:hanging="360"/>
      </w:pPr>
      <w:rPr>
        <w:rFonts w:hint="default"/>
      </w:rPr>
    </w:lvl>
    <w:lvl w:ilvl="1" w:tplc="08090019">
      <w:start w:val="1"/>
      <w:numFmt w:val="lowerLetter"/>
      <w:lvlText w:val="%2."/>
      <w:lvlJc w:val="left"/>
      <w:pPr>
        <w:ind w:left="2312" w:hanging="360"/>
      </w:pPr>
    </w:lvl>
    <w:lvl w:ilvl="2" w:tplc="0809001B">
      <w:start w:val="1"/>
      <w:numFmt w:val="lowerRoman"/>
      <w:lvlText w:val="%3."/>
      <w:lvlJc w:val="right"/>
      <w:pPr>
        <w:ind w:left="3032" w:hanging="180"/>
      </w:pPr>
    </w:lvl>
    <w:lvl w:ilvl="3" w:tplc="0809000F">
      <w:start w:val="1"/>
      <w:numFmt w:val="decimal"/>
      <w:lvlText w:val="%4."/>
      <w:lvlJc w:val="left"/>
      <w:pPr>
        <w:ind w:left="3752" w:hanging="360"/>
      </w:pPr>
    </w:lvl>
    <w:lvl w:ilvl="4" w:tplc="08090019">
      <w:start w:val="1"/>
      <w:numFmt w:val="lowerLetter"/>
      <w:lvlText w:val="%5."/>
      <w:lvlJc w:val="left"/>
      <w:pPr>
        <w:ind w:left="4472" w:hanging="360"/>
      </w:pPr>
    </w:lvl>
    <w:lvl w:ilvl="5" w:tplc="0809001B">
      <w:start w:val="1"/>
      <w:numFmt w:val="lowerRoman"/>
      <w:lvlText w:val="%6."/>
      <w:lvlJc w:val="right"/>
      <w:pPr>
        <w:ind w:left="5192" w:hanging="180"/>
      </w:pPr>
    </w:lvl>
    <w:lvl w:ilvl="6" w:tplc="0809000F">
      <w:start w:val="1"/>
      <w:numFmt w:val="decimal"/>
      <w:lvlText w:val="%7."/>
      <w:lvlJc w:val="left"/>
      <w:pPr>
        <w:ind w:left="5912" w:hanging="360"/>
      </w:pPr>
    </w:lvl>
    <w:lvl w:ilvl="7" w:tplc="08090019">
      <w:start w:val="1"/>
      <w:numFmt w:val="lowerLetter"/>
      <w:lvlText w:val="%8."/>
      <w:lvlJc w:val="left"/>
      <w:pPr>
        <w:ind w:left="6632" w:hanging="360"/>
      </w:pPr>
    </w:lvl>
    <w:lvl w:ilvl="8" w:tplc="0809001B">
      <w:start w:val="1"/>
      <w:numFmt w:val="lowerRoman"/>
      <w:lvlText w:val="%9."/>
      <w:lvlJc w:val="right"/>
      <w:pPr>
        <w:ind w:left="7352" w:hanging="180"/>
      </w:pPr>
    </w:lvl>
  </w:abstractNum>
  <w:abstractNum w:abstractNumId="11">
    <w:nsid w:val="32065633"/>
    <w:multiLevelType w:val="hybridMultilevel"/>
    <w:tmpl w:val="39BC451E"/>
    <w:lvl w:ilvl="0" w:tplc="6652E238">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2">
    <w:nsid w:val="331D2212"/>
    <w:multiLevelType w:val="hybridMultilevel"/>
    <w:tmpl w:val="59F0E4F8"/>
    <w:lvl w:ilvl="0" w:tplc="9B6E7BB6">
      <w:start w:val="1"/>
      <w:numFmt w:val="decimal"/>
      <w:lvlText w:val="(%1)"/>
      <w:lvlJc w:val="left"/>
      <w:pPr>
        <w:ind w:left="1592" w:hanging="360"/>
      </w:pPr>
      <w:rPr>
        <w:rFonts w:hint="default"/>
      </w:rPr>
    </w:lvl>
    <w:lvl w:ilvl="1" w:tplc="08090019">
      <w:start w:val="1"/>
      <w:numFmt w:val="lowerLetter"/>
      <w:lvlText w:val="%2."/>
      <w:lvlJc w:val="left"/>
      <w:pPr>
        <w:ind w:left="2312" w:hanging="360"/>
      </w:pPr>
    </w:lvl>
    <w:lvl w:ilvl="2" w:tplc="0809001B">
      <w:start w:val="1"/>
      <w:numFmt w:val="lowerRoman"/>
      <w:lvlText w:val="%3."/>
      <w:lvlJc w:val="right"/>
      <w:pPr>
        <w:ind w:left="3032" w:hanging="180"/>
      </w:pPr>
    </w:lvl>
    <w:lvl w:ilvl="3" w:tplc="0809000F">
      <w:start w:val="1"/>
      <w:numFmt w:val="decimal"/>
      <w:lvlText w:val="%4."/>
      <w:lvlJc w:val="left"/>
      <w:pPr>
        <w:ind w:left="3752" w:hanging="360"/>
      </w:pPr>
    </w:lvl>
    <w:lvl w:ilvl="4" w:tplc="08090019">
      <w:start w:val="1"/>
      <w:numFmt w:val="lowerLetter"/>
      <w:lvlText w:val="%5."/>
      <w:lvlJc w:val="left"/>
      <w:pPr>
        <w:ind w:left="4472" w:hanging="360"/>
      </w:pPr>
    </w:lvl>
    <w:lvl w:ilvl="5" w:tplc="0809001B">
      <w:start w:val="1"/>
      <w:numFmt w:val="lowerRoman"/>
      <w:lvlText w:val="%6."/>
      <w:lvlJc w:val="right"/>
      <w:pPr>
        <w:ind w:left="5192" w:hanging="180"/>
      </w:pPr>
    </w:lvl>
    <w:lvl w:ilvl="6" w:tplc="0809000F">
      <w:start w:val="1"/>
      <w:numFmt w:val="decimal"/>
      <w:lvlText w:val="%7."/>
      <w:lvlJc w:val="left"/>
      <w:pPr>
        <w:ind w:left="5912" w:hanging="360"/>
      </w:pPr>
    </w:lvl>
    <w:lvl w:ilvl="7" w:tplc="08090019">
      <w:start w:val="1"/>
      <w:numFmt w:val="lowerLetter"/>
      <w:lvlText w:val="%8."/>
      <w:lvlJc w:val="left"/>
      <w:pPr>
        <w:ind w:left="6632" w:hanging="360"/>
      </w:pPr>
    </w:lvl>
    <w:lvl w:ilvl="8" w:tplc="0809001B">
      <w:start w:val="1"/>
      <w:numFmt w:val="lowerRoman"/>
      <w:lvlText w:val="%9."/>
      <w:lvlJc w:val="right"/>
      <w:pPr>
        <w:ind w:left="7352" w:hanging="180"/>
      </w:pPr>
    </w:lvl>
  </w:abstractNum>
  <w:abstractNum w:abstractNumId="13">
    <w:nsid w:val="3ACE40C4"/>
    <w:multiLevelType w:val="hybridMultilevel"/>
    <w:tmpl w:val="267265A4"/>
    <w:lvl w:ilvl="0" w:tplc="9C9A42DE">
      <w:start w:val="1"/>
      <w:numFmt w:val="lowerRoman"/>
      <w:lvlText w:val="(%1)"/>
      <w:lvlJc w:val="left"/>
      <w:pPr>
        <w:tabs>
          <w:tab w:val="num" w:pos="720"/>
        </w:tabs>
        <w:ind w:left="72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4">
    <w:nsid w:val="3FBF3A99"/>
    <w:multiLevelType w:val="hybridMultilevel"/>
    <w:tmpl w:val="267265A4"/>
    <w:lvl w:ilvl="0" w:tplc="9C9A42DE">
      <w:start w:val="1"/>
      <w:numFmt w:val="lowerRoman"/>
      <w:lvlText w:val="(%1)"/>
      <w:lvlJc w:val="left"/>
      <w:pPr>
        <w:tabs>
          <w:tab w:val="num" w:pos="720"/>
        </w:tabs>
        <w:ind w:left="72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5">
    <w:nsid w:val="42C5468C"/>
    <w:multiLevelType w:val="hybridMultilevel"/>
    <w:tmpl w:val="D6AC0E7C"/>
    <w:lvl w:ilvl="0" w:tplc="261AFAA6">
      <w:start w:val="1"/>
      <w:numFmt w:val="lowerLetter"/>
      <w:lvlText w:val="%1."/>
      <w:lvlJc w:val="left"/>
      <w:pPr>
        <w:ind w:left="107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2150"/>
        </w:tabs>
        <w:ind w:left="2150" w:hanging="360"/>
      </w:pPr>
    </w:lvl>
    <w:lvl w:ilvl="2" w:tplc="0809001B">
      <w:start w:val="1"/>
      <w:numFmt w:val="lowerRoman"/>
      <w:lvlText w:val="%3."/>
      <w:lvlJc w:val="right"/>
      <w:pPr>
        <w:tabs>
          <w:tab w:val="num" w:pos="2870"/>
        </w:tabs>
        <w:ind w:left="2870" w:hanging="180"/>
      </w:pPr>
    </w:lvl>
    <w:lvl w:ilvl="3" w:tplc="0809000F">
      <w:start w:val="1"/>
      <w:numFmt w:val="decimal"/>
      <w:lvlText w:val="%4."/>
      <w:lvlJc w:val="left"/>
      <w:pPr>
        <w:tabs>
          <w:tab w:val="num" w:pos="3590"/>
        </w:tabs>
        <w:ind w:left="3590" w:hanging="360"/>
      </w:pPr>
    </w:lvl>
    <w:lvl w:ilvl="4" w:tplc="08090019">
      <w:start w:val="1"/>
      <w:numFmt w:val="lowerLetter"/>
      <w:lvlText w:val="%5."/>
      <w:lvlJc w:val="left"/>
      <w:pPr>
        <w:tabs>
          <w:tab w:val="num" w:pos="4310"/>
        </w:tabs>
        <w:ind w:left="4310" w:hanging="360"/>
      </w:pPr>
    </w:lvl>
    <w:lvl w:ilvl="5" w:tplc="0809001B">
      <w:start w:val="1"/>
      <w:numFmt w:val="lowerRoman"/>
      <w:lvlText w:val="%6."/>
      <w:lvlJc w:val="right"/>
      <w:pPr>
        <w:tabs>
          <w:tab w:val="num" w:pos="5030"/>
        </w:tabs>
        <w:ind w:left="5030" w:hanging="180"/>
      </w:pPr>
    </w:lvl>
    <w:lvl w:ilvl="6" w:tplc="0809000F">
      <w:start w:val="1"/>
      <w:numFmt w:val="decimal"/>
      <w:lvlText w:val="%7."/>
      <w:lvlJc w:val="left"/>
      <w:pPr>
        <w:tabs>
          <w:tab w:val="num" w:pos="5750"/>
        </w:tabs>
        <w:ind w:left="5750" w:hanging="360"/>
      </w:pPr>
    </w:lvl>
    <w:lvl w:ilvl="7" w:tplc="08090019">
      <w:start w:val="1"/>
      <w:numFmt w:val="lowerLetter"/>
      <w:lvlText w:val="%8."/>
      <w:lvlJc w:val="left"/>
      <w:pPr>
        <w:tabs>
          <w:tab w:val="num" w:pos="6470"/>
        </w:tabs>
        <w:ind w:left="6470" w:hanging="360"/>
      </w:pPr>
    </w:lvl>
    <w:lvl w:ilvl="8" w:tplc="0809001B">
      <w:start w:val="1"/>
      <w:numFmt w:val="lowerRoman"/>
      <w:lvlText w:val="%9."/>
      <w:lvlJc w:val="right"/>
      <w:pPr>
        <w:tabs>
          <w:tab w:val="num" w:pos="7190"/>
        </w:tabs>
        <w:ind w:left="7190" w:hanging="180"/>
      </w:pPr>
    </w:lvl>
  </w:abstractNum>
  <w:abstractNum w:abstractNumId="16">
    <w:nsid w:val="51E05205"/>
    <w:multiLevelType w:val="hybridMultilevel"/>
    <w:tmpl w:val="5C1AEB04"/>
    <w:lvl w:ilvl="0" w:tplc="0A443F3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45E74D5"/>
    <w:multiLevelType w:val="hybridMultilevel"/>
    <w:tmpl w:val="F44E1900"/>
    <w:lvl w:ilvl="0" w:tplc="9CC24FBE">
      <w:start w:val="1"/>
      <w:numFmt w:val="lowerRoman"/>
      <w:lvlText w:val="(%1)"/>
      <w:lvlJc w:val="left"/>
      <w:pPr>
        <w:tabs>
          <w:tab w:val="num" w:pos="720"/>
        </w:tabs>
        <w:ind w:left="72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nsid w:val="5559094F"/>
    <w:multiLevelType w:val="hybridMultilevel"/>
    <w:tmpl w:val="D8328856"/>
    <w:lvl w:ilvl="0" w:tplc="C88EA4C0">
      <w:start w:val="1"/>
      <w:numFmt w:val="lowerLetter"/>
      <w:lvlText w:val="%1."/>
      <w:lvlJc w:val="left"/>
      <w:pPr>
        <w:ind w:left="107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2150"/>
        </w:tabs>
        <w:ind w:left="2150" w:hanging="360"/>
      </w:pPr>
    </w:lvl>
    <w:lvl w:ilvl="2" w:tplc="0809001B">
      <w:start w:val="1"/>
      <w:numFmt w:val="lowerRoman"/>
      <w:lvlText w:val="%3."/>
      <w:lvlJc w:val="right"/>
      <w:pPr>
        <w:tabs>
          <w:tab w:val="num" w:pos="2870"/>
        </w:tabs>
        <w:ind w:left="2870" w:hanging="180"/>
      </w:pPr>
    </w:lvl>
    <w:lvl w:ilvl="3" w:tplc="0809000F">
      <w:start w:val="1"/>
      <w:numFmt w:val="decimal"/>
      <w:lvlText w:val="%4."/>
      <w:lvlJc w:val="left"/>
      <w:pPr>
        <w:tabs>
          <w:tab w:val="num" w:pos="3590"/>
        </w:tabs>
        <w:ind w:left="3590" w:hanging="360"/>
      </w:pPr>
    </w:lvl>
    <w:lvl w:ilvl="4" w:tplc="08090019">
      <w:start w:val="1"/>
      <w:numFmt w:val="lowerLetter"/>
      <w:lvlText w:val="%5."/>
      <w:lvlJc w:val="left"/>
      <w:pPr>
        <w:tabs>
          <w:tab w:val="num" w:pos="4310"/>
        </w:tabs>
        <w:ind w:left="4310" w:hanging="360"/>
      </w:pPr>
    </w:lvl>
    <w:lvl w:ilvl="5" w:tplc="0809001B">
      <w:start w:val="1"/>
      <w:numFmt w:val="lowerRoman"/>
      <w:lvlText w:val="%6."/>
      <w:lvlJc w:val="right"/>
      <w:pPr>
        <w:tabs>
          <w:tab w:val="num" w:pos="5030"/>
        </w:tabs>
        <w:ind w:left="5030" w:hanging="180"/>
      </w:pPr>
    </w:lvl>
    <w:lvl w:ilvl="6" w:tplc="0809000F">
      <w:start w:val="1"/>
      <w:numFmt w:val="decimal"/>
      <w:lvlText w:val="%7."/>
      <w:lvlJc w:val="left"/>
      <w:pPr>
        <w:tabs>
          <w:tab w:val="num" w:pos="5750"/>
        </w:tabs>
        <w:ind w:left="5750" w:hanging="360"/>
      </w:pPr>
    </w:lvl>
    <w:lvl w:ilvl="7" w:tplc="08090019">
      <w:start w:val="1"/>
      <w:numFmt w:val="lowerLetter"/>
      <w:lvlText w:val="%8."/>
      <w:lvlJc w:val="left"/>
      <w:pPr>
        <w:tabs>
          <w:tab w:val="num" w:pos="6470"/>
        </w:tabs>
        <w:ind w:left="6470" w:hanging="360"/>
      </w:pPr>
    </w:lvl>
    <w:lvl w:ilvl="8" w:tplc="0809001B">
      <w:start w:val="1"/>
      <w:numFmt w:val="lowerRoman"/>
      <w:lvlText w:val="%9."/>
      <w:lvlJc w:val="right"/>
      <w:pPr>
        <w:tabs>
          <w:tab w:val="num" w:pos="7190"/>
        </w:tabs>
        <w:ind w:left="7190" w:hanging="180"/>
      </w:pPr>
    </w:lvl>
  </w:abstractNum>
  <w:abstractNum w:abstractNumId="19">
    <w:nsid w:val="56BD4975"/>
    <w:multiLevelType w:val="hybridMultilevel"/>
    <w:tmpl w:val="E732EBAE"/>
    <w:lvl w:ilvl="0" w:tplc="36BE95EA">
      <w:start w:val="1"/>
      <w:numFmt w:val="lowerLetter"/>
      <w:lvlText w:val="%1."/>
      <w:lvlJc w:val="left"/>
      <w:pPr>
        <w:ind w:left="107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2150"/>
        </w:tabs>
        <w:ind w:left="2150" w:hanging="360"/>
      </w:pPr>
    </w:lvl>
    <w:lvl w:ilvl="2" w:tplc="0809001B">
      <w:start w:val="1"/>
      <w:numFmt w:val="lowerRoman"/>
      <w:lvlText w:val="%3."/>
      <w:lvlJc w:val="right"/>
      <w:pPr>
        <w:tabs>
          <w:tab w:val="num" w:pos="2870"/>
        </w:tabs>
        <w:ind w:left="2870" w:hanging="180"/>
      </w:pPr>
    </w:lvl>
    <w:lvl w:ilvl="3" w:tplc="0809000F">
      <w:start w:val="1"/>
      <w:numFmt w:val="decimal"/>
      <w:lvlText w:val="%4."/>
      <w:lvlJc w:val="left"/>
      <w:pPr>
        <w:tabs>
          <w:tab w:val="num" w:pos="3590"/>
        </w:tabs>
        <w:ind w:left="3590" w:hanging="360"/>
      </w:pPr>
    </w:lvl>
    <w:lvl w:ilvl="4" w:tplc="08090019">
      <w:start w:val="1"/>
      <w:numFmt w:val="lowerLetter"/>
      <w:lvlText w:val="%5."/>
      <w:lvlJc w:val="left"/>
      <w:pPr>
        <w:tabs>
          <w:tab w:val="num" w:pos="4310"/>
        </w:tabs>
        <w:ind w:left="4310" w:hanging="360"/>
      </w:pPr>
    </w:lvl>
    <w:lvl w:ilvl="5" w:tplc="0809001B">
      <w:start w:val="1"/>
      <w:numFmt w:val="lowerRoman"/>
      <w:lvlText w:val="%6."/>
      <w:lvlJc w:val="right"/>
      <w:pPr>
        <w:tabs>
          <w:tab w:val="num" w:pos="5030"/>
        </w:tabs>
        <w:ind w:left="5030" w:hanging="180"/>
      </w:pPr>
    </w:lvl>
    <w:lvl w:ilvl="6" w:tplc="0809000F">
      <w:start w:val="1"/>
      <w:numFmt w:val="decimal"/>
      <w:lvlText w:val="%7."/>
      <w:lvlJc w:val="left"/>
      <w:pPr>
        <w:tabs>
          <w:tab w:val="num" w:pos="5750"/>
        </w:tabs>
        <w:ind w:left="5750" w:hanging="360"/>
      </w:pPr>
    </w:lvl>
    <w:lvl w:ilvl="7" w:tplc="08090019">
      <w:start w:val="1"/>
      <w:numFmt w:val="lowerLetter"/>
      <w:lvlText w:val="%8."/>
      <w:lvlJc w:val="left"/>
      <w:pPr>
        <w:tabs>
          <w:tab w:val="num" w:pos="6470"/>
        </w:tabs>
        <w:ind w:left="6470" w:hanging="360"/>
      </w:pPr>
    </w:lvl>
    <w:lvl w:ilvl="8" w:tplc="0809001B">
      <w:start w:val="1"/>
      <w:numFmt w:val="lowerRoman"/>
      <w:lvlText w:val="%9."/>
      <w:lvlJc w:val="right"/>
      <w:pPr>
        <w:tabs>
          <w:tab w:val="num" w:pos="7190"/>
        </w:tabs>
        <w:ind w:left="7190" w:hanging="180"/>
      </w:pPr>
    </w:lvl>
  </w:abstractNum>
  <w:abstractNum w:abstractNumId="20">
    <w:nsid w:val="57C43459"/>
    <w:multiLevelType w:val="hybridMultilevel"/>
    <w:tmpl w:val="08EA3976"/>
    <w:lvl w:ilvl="0" w:tplc="3864CA6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21">
    <w:nsid w:val="59D80C37"/>
    <w:multiLevelType w:val="hybridMultilevel"/>
    <w:tmpl w:val="5EDC8492"/>
    <w:lvl w:ilvl="0" w:tplc="5226D2E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DAE35A8"/>
    <w:multiLevelType w:val="hybridMultilevel"/>
    <w:tmpl w:val="59F0E4F8"/>
    <w:lvl w:ilvl="0" w:tplc="9B6E7BB6">
      <w:start w:val="1"/>
      <w:numFmt w:val="decimal"/>
      <w:lvlText w:val="(%1)"/>
      <w:lvlJc w:val="left"/>
      <w:pPr>
        <w:ind w:left="1592" w:hanging="360"/>
      </w:pPr>
      <w:rPr>
        <w:rFonts w:hint="default"/>
      </w:rPr>
    </w:lvl>
    <w:lvl w:ilvl="1" w:tplc="08090019">
      <w:start w:val="1"/>
      <w:numFmt w:val="lowerLetter"/>
      <w:lvlText w:val="%2."/>
      <w:lvlJc w:val="left"/>
      <w:pPr>
        <w:ind w:left="2312" w:hanging="360"/>
      </w:pPr>
    </w:lvl>
    <w:lvl w:ilvl="2" w:tplc="0809001B">
      <w:start w:val="1"/>
      <w:numFmt w:val="lowerRoman"/>
      <w:lvlText w:val="%3."/>
      <w:lvlJc w:val="right"/>
      <w:pPr>
        <w:ind w:left="3032" w:hanging="180"/>
      </w:pPr>
    </w:lvl>
    <w:lvl w:ilvl="3" w:tplc="0809000F">
      <w:start w:val="1"/>
      <w:numFmt w:val="decimal"/>
      <w:lvlText w:val="%4."/>
      <w:lvlJc w:val="left"/>
      <w:pPr>
        <w:ind w:left="3752" w:hanging="360"/>
      </w:pPr>
    </w:lvl>
    <w:lvl w:ilvl="4" w:tplc="08090019">
      <w:start w:val="1"/>
      <w:numFmt w:val="lowerLetter"/>
      <w:lvlText w:val="%5."/>
      <w:lvlJc w:val="left"/>
      <w:pPr>
        <w:ind w:left="4472" w:hanging="360"/>
      </w:pPr>
    </w:lvl>
    <w:lvl w:ilvl="5" w:tplc="0809001B">
      <w:start w:val="1"/>
      <w:numFmt w:val="lowerRoman"/>
      <w:lvlText w:val="%6."/>
      <w:lvlJc w:val="right"/>
      <w:pPr>
        <w:ind w:left="5192" w:hanging="180"/>
      </w:pPr>
    </w:lvl>
    <w:lvl w:ilvl="6" w:tplc="0809000F">
      <w:start w:val="1"/>
      <w:numFmt w:val="decimal"/>
      <w:lvlText w:val="%7."/>
      <w:lvlJc w:val="left"/>
      <w:pPr>
        <w:ind w:left="5912" w:hanging="360"/>
      </w:pPr>
    </w:lvl>
    <w:lvl w:ilvl="7" w:tplc="08090019">
      <w:start w:val="1"/>
      <w:numFmt w:val="lowerLetter"/>
      <w:lvlText w:val="%8."/>
      <w:lvlJc w:val="left"/>
      <w:pPr>
        <w:ind w:left="6632" w:hanging="360"/>
      </w:pPr>
    </w:lvl>
    <w:lvl w:ilvl="8" w:tplc="0809001B">
      <w:start w:val="1"/>
      <w:numFmt w:val="lowerRoman"/>
      <w:lvlText w:val="%9."/>
      <w:lvlJc w:val="right"/>
      <w:pPr>
        <w:ind w:left="7352" w:hanging="180"/>
      </w:pPr>
    </w:lvl>
  </w:abstractNum>
  <w:abstractNum w:abstractNumId="23">
    <w:nsid w:val="611A5F60"/>
    <w:multiLevelType w:val="hybridMultilevel"/>
    <w:tmpl w:val="0B54EAB8"/>
    <w:lvl w:ilvl="0" w:tplc="384C3232">
      <w:start w:val="1"/>
      <w:numFmt w:val="lowerLetter"/>
      <w:lvlText w:val="%1."/>
      <w:lvlJc w:val="left"/>
      <w:pPr>
        <w:ind w:left="107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2150"/>
        </w:tabs>
        <w:ind w:left="2150" w:hanging="360"/>
      </w:pPr>
    </w:lvl>
    <w:lvl w:ilvl="2" w:tplc="0809001B">
      <w:start w:val="1"/>
      <w:numFmt w:val="lowerRoman"/>
      <w:lvlText w:val="%3."/>
      <w:lvlJc w:val="right"/>
      <w:pPr>
        <w:tabs>
          <w:tab w:val="num" w:pos="2870"/>
        </w:tabs>
        <w:ind w:left="2870" w:hanging="180"/>
      </w:pPr>
    </w:lvl>
    <w:lvl w:ilvl="3" w:tplc="0809000F">
      <w:start w:val="1"/>
      <w:numFmt w:val="decimal"/>
      <w:lvlText w:val="%4."/>
      <w:lvlJc w:val="left"/>
      <w:pPr>
        <w:tabs>
          <w:tab w:val="num" w:pos="3590"/>
        </w:tabs>
        <w:ind w:left="3590" w:hanging="360"/>
      </w:pPr>
    </w:lvl>
    <w:lvl w:ilvl="4" w:tplc="08090019">
      <w:start w:val="1"/>
      <w:numFmt w:val="lowerLetter"/>
      <w:lvlText w:val="%5."/>
      <w:lvlJc w:val="left"/>
      <w:pPr>
        <w:tabs>
          <w:tab w:val="num" w:pos="4310"/>
        </w:tabs>
        <w:ind w:left="4310" w:hanging="360"/>
      </w:pPr>
    </w:lvl>
    <w:lvl w:ilvl="5" w:tplc="0809001B">
      <w:start w:val="1"/>
      <w:numFmt w:val="lowerRoman"/>
      <w:lvlText w:val="%6."/>
      <w:lvlJc w:val="right"/>
      <w:pPr>
        <w:tabs>
          <w:tab w:val="num" w:pos="5030"/>
        </w:tabs>
        <w:ind w:left="5030" w:hanging="180"/>
      </w:pPr>
    </w:lvl>
    <w:lvl w:ilvl="6" w:tplc="0809000F">
      <w:start w:val="1"/>
      <w:numFmt w:val="decimal"/>
      <w:lvlText w:val="%7."/>
      <w:lvlJc w:val="left"/>
      <w:pPr>
        <w:tabs>
          <w:tab w:val="num" w:pos="5750"/>
        </w:tabs>
        <w:ind w:left="5750" w:hanging="360"/>
      </w:pPr>
    </w:lvl>
    <w:lvl w:ilvl="7" w:tplc="08090019">
      <w:start w:val="1"/>
      <w:numFmt w:val="lowerLetter"/>
      <w:lvlText w:val="%8."/>
      <w:lvlJc w:val="left"/>
      <w:pPr>
        <w:tabs>
          <w:tab w:val="num" w:pos="6470"/>
        </w:tabs>
        <w:ind w:left="6470" w:hanging="360"/>
      </w:pPr>
    </w:lvl>
    <w:lvl w:ilvl="8" w:tplc="0809001B">
      <w:start w:val="1"/>
      <w:numFmt w:val="lowerRoman"/>
      <w:lvlText w:val="%9."/>
      <w:lvlJc w:val="right"/>
      <w:pPr>
        <w:tabs>
          <w:tab w:val="num" w:pos="7190"/>
        </w:tabs>
        <w:ind w:left="7190" w:hanging="180"/>
      </w:pPr>
    </w:lvl>
  </w:abstractNum>
  <w:abstractNum w:abstractNumId="24">
    <w:nsid w:val="62AC2D72"/>
    <w:multiLevelType w:val="hybridMultilevel"/>
    <w:tmpl w:val="B574CA28"/>
    <w:lvl w:ilvl="0" w:tplc="69D4876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76C5392B"/>
    <w:multiLevelType w:val="hybridMultilevel"/>
    <w:tmpl w:val="CB30723C"/>
    <w:lvl w:ilvl="0" w:tplc="D33E9A40">
      <w:start w:val="1"/>
      <w:numFmt w:val="lowerRoman"/>
      <w:lvlText w:val="(%1)"/>
      <w:lvlJc w:val="left"/>
      <w:pPr>
        <w:tabs>
          <w:tab w:val="num" w:pos="720"/>
        </w:tabs>
        <w:ind w:left="72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6">
    <w:nsid w:val="7E571C88"/>
    <w:multiLevelType w:val="hybridMultilevel"/>
    <w:tmpl w:val="77F44D70"/>
    <w:lvl w:ilvl="0" w:tplc="4E1AD1A2">
      <w:start w:val="1"/>
      <w:numFmt w:val="lowerRoman"/>
      <w:lvlText w:val="(%1)"/>
      <w:lvlJc w:val="left"/>
      <w:pPr>
        <w:tabs>
          <w:tab w:val="num" w:pos="720"/>
        </w:tabs>
        <w:ind w:left="720" w:hanging="360"/>
      </w:pPr>
      <w:rPr>
        <w:rFonts w:ascii="Arial" w:eastAsia="SimSun" w:hAnsi="Arial"/>
        <w:b w:val="0"/>
        <w:bCs w:val="0"/>
        <w:i w:val="0"/>
        <w:iCs w:val="0"/>
        <w:sz w:val="22"/>
        <w:szCs w:val="22"/>
        <w:u w:val="none"/>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7">
    <w:nsid w:val="7F6069DE"/>
    <w:multiLevelType w:val="hybridMultilevel"/>
    <w:tmpl w:val="16680F6C"/>
    <w:lvl w:ilvl="0" w:tplc="0064582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 w:numId="3">
    <w:abstractNumId w:val="7"/>
  </w:num>
  <w:num w:numId="4">
    <w:abstractNumId w:val="14"/>
  </w:num>
  <w:num w:numId="5">
    <w:abstractNumId w:val="2"/>
  </w:num>
  <w:num w:numId="6">
    <w:abstractNumId w:val="6"/>
  </w:num>
  <w:num w:numId="7">
    <w:abstractNumId w:val="9"/>
  </w:num>
  <w:num w:numId="8">
    <w:abstractNumId w:val="23"/>
  </w:num>
  <w:num w:numId="9">
    <w:abstractNumId w:val="26"/>
  </w:num>
  <w:num w:numId="10">
    <w:abstractNumId w:val="19"/>
  </w:num>
  <w:num w:numId="11">
    <w:abstractNumId w:val="15"/>
  </w:num>
  <w:num w:numId="12">
    <w:abstractNumId w:val="17"/>
  </w:num>
  <w:num w:numId="13">
    <w:abstractNumId w:val="25"/>
  </w:num>
  <w:num w:numId="14">
    <w:abstractNumId w:val="1"/>
  </w:num>
  <w:num w:numId="15">
    <w:abstractNumId w:val="21"/>
  </w:num>
  <w:num w:numId="16">
    <w:abstractNumId w:val="24"/>
  </w:num>
  <w:num w:numId="17">
    <w:abstractNumId w:val="27"/>
  </w:num>
  <w:num w:numId="18">
    <w:abstractNumId w:val="20"/>
  </w:num>
  <w:num w:numId="19">
    <w:abstractNumId w:val="16"/>
  </w:num>
  <w:num w:numId="20">
    <w:abstractNumId w:val="11"/>
  </w:num>
  <w:num w:numId="21">
    <w:abstractNumId w:val="13"/>
  </w:num>
  <w:num w:numId="22">
    <w:abstractNumId w:val="8"/>
  </w:num>
  <w:num w:numId="23">
    <w:abstractNumId w:val="10"/>
  </w:num>
  <w:num w:numId="24">
    <w:abstractNumId w:val="4"/>
  </w:num>
  <w:num w:numId="25">
    <w:abstractNumId w:val="3"/>
  </w:num>
  <w:num w:numId="26">
    <w:abstractNumId w:val="22"/>
  </w:num>
  <w:num w:numId="27">
    <w:abstractNumId w:val="12"/>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A5"/>
    <w:rsid w:val="000072D4"/>
    <w:rsid w:val="00011C9E"/>
    <w:rsid w:val="000570BE"/>
    <w:rsid w:val="000C6A23"/>
    <w:rsid w:val="000F6A7B"/>
    <w:rsid w:val="001176F3"/>
    <w:rsid w:val="00124E04"/>
    <w:rsid w:val="00135DA4"/>
    <w:rsid w:val="00176BA5"/>
    <w:rsid w:val="001C5AD7"/>
    <w:rsid w:val="001D18E5"/>
    <w:rsid w:val="001D41A7"/>
    <w:rsid w:val="001F0E2D"/>
    <w:rsid w:val="002258D6"/>
    <w:rsid w:val="002765EA"/>
    <w:rsid w:val="002A75E4"/>
    <w:rsid w:val="002C7B83"/>
    <w:rsid w:val="002D59C2"/>
    <w:rsid w:val="002F788E"/>
    <w:rsid w:val="00303320"/>
    <w:rsid w:val="003239BB"/>
    <w:rsid w:val="00331520"/>
    <w:rsid w:val="00367E6D"/>
    <w:rsid w:val="003911F0"/>
    <w:rsid w:val="003C7EF1"/>
    <w:rsid w:val="003F30B4"/>
    <w:rsid w:val="00411312"/>
    <w:rsid w:val="004132A5"/>
    <w:rsid w:val="004219C5"/>
    <w:rsid w:val="0046251A"/>
    <w:rsid w:val="00470F5C"/>
    <w:rsid w:val="00497315"/>
    <w:rsid w:val="005107EC"/>
    <w:rsid w:val="00530CC4"/>
    <w:rsid w:val="0054794B"/>
    <w:rsid w:val="005908DB"/>
    <w:rsid w:val="005973E5"/>
    <w:rsid w:val="005A0ABB"/>
    <w:rsid w:val="005B19D8"/>
    <w:rsid w:val="006227F6"/>
    <w:rsid w:val="006252E9"/>
    <w:rsid w:val="00637752"/>
    <w:rsid w:val="0066089D"/>
    <w:rsid w:val="00672B3A"/>
    <w:rsid w:val="00675122"/>
    <w:rsid w:val="006A113D"/>
    <w:rsid w:val="006D087B"/>
    <w:rsid w:val="006D3FEF"/>
    <w:rsid w:val="006D4218"/>
    <w:rsid w:val="006E29B4"/>
    <w:rsid w:val="00742843"/>
    <w:rsid w:val="007A359E"/>
    <w:rsid w:val="007A7A84"/>
    <w:rsid w:val="00812C7F"/>
    <w:rsid w:val="00856C83"/>
    <w:rsid w:val="00911B50"/>
    <w:rsid w:val="00922ACE"/>
    <w:rsid w:val="00931215"/>
    <w:rsid w:val="00933259"/>
    <w:rsid w:val="009547D4"/>
    <w:rsid w:val="009A21E0"/>
    <w:rsid w:val="009C6E25"/>
    <w:rsid w:val="009D301C"/>
    <w:rsid w:val="009E540B"/>
    <w:rsid w:val="00AA2CB1"/>
    <w:rsid w:val="00AB043F"/>
    <w:rsid w:val="00AC3ECF"/>
    <w:rsid w:val="00AC4CB5"/>
    <w:rsid w:val="00B16064"/>
    <w:rsid w:val="00B317C0"/>
    <w:rsid w:val="00B525B2"/>
    <w:rsid w:val="00B63AC4"/>
    <w:rsid w:val="00BF5370"/>
    <w:rsid w:val="00C21FF4"/>
    <w:rsid w:val="00C66B9C"/>
    <w:rsid w:val="00C75194"/>
    <w:rsid w:val="00C84508"/>
    <w:rsid w:val="00D056D9"/>
    <w:rsid w:val="00D24DF5"/>
    <w:rsid w:val="00D6501B"/>
    <w:rsid w:val="00D84227"/>
    <w:rsid w:val="00DA1F8B"/>
    <w:rsid w:val="00DC0873"/>
    <w:rsid w:val="00DE0B20"/>
    <w:rsid w:val="00DE24BF"/>
    <w:rsid w:val="00E4501A"/>
    <w:rsid w:val="00E80809"/>
    <w:rsid w:val="00E96710"/>
    <w:rsid w:val="00EC42C0"/>
    <w:rsid w:val="00EC5E24"/>
    <w:rsid w:val="00ED359D"/>
    <w:rsid w:val="00ED3E2C"/>
    <w:rsid w:val="00EE11BE"/>
    <w:rsid w:val="00EF70BE"/>
    <w:rsid w:val="00F20354"/>
    <w:rsid w:val="00F73AAD"/>
    <w:rsid w:val="00F81458"/>
    <w:rsid w:val="00FA15B3"/>
    <w:rsid w:val="00FB5E76"/>
    <w:rsid w:val="00FD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A5"/>
    <w:pPr>
      <w:spacing w:after="200" w:line="276" w:lineRule="auto"/>
    </w:pPr>
    <w:rPr>
      <w:rFonts w:cs="Calibri"/>
      <w:kern w:val="0"/>
      <w:sz w:val="22"/>
      <w:lang w:val="en-GB"/>
    </w:rPr>
  </w:style>
  <w:style w:type="paragraph" w:styleId="Heading1">
    <w:name w:val="heading 1"/>
    <w:basedOn w:val="Normal"/>
    <w:next w:val="Normal"/>
    <w:link w:val="Heading1Char"/>
    <w:uiPriority w:val="99"/>
    <w:qFormat/>
    <w:rsid w:val="004132A5"/>
    <w:pPr>
      <w:keepNext/>
      <w:widowControl w:val="0"/>
      <w:spacing w:before="240" w:after="60" w:line="240" w:lineRule="auto"/>
      <w:jc w:val="both"/>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2A5"/>
    <w:rPr>
      <w:rFonts w:ascii="Arial" w:eastAsia="SimSun" w:hAnsi="Arial" w:cs="Arial"/>
      <w:b/>
      <w:bCs/>
      <w:kern w:val="32"/>
      <w:sz w:val="32"/>
      <w:szCs w:val="32"/>
    </w:rPr>
  </w:style>
  <w:style w:type="paragraph" w:styleId="Header">
    <w:name w:val="header"/>
    <w:basedOn w:val="Normal"/>
    <w:link w:val="HeaderChar"/>
    <w:uiPriority w:val="99"/>
    <w:rsid w:val="004132A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132A5"/>
    <w:rPr>
      <w:kern w:val="0"/>
      <w:sz w:val="22"/>
      <w:szCs w:val="22"/>
      <w:lang w:val="en-GB"/>
    </w:rPr>
  </w:style>
  <w:style w:type="paragraph" w:styleId="Footer">
    <w:name w:val="footer"/>
    <w:basedOn w:val="Normal"/>
    <w:link w:val="FooterChar"/>
    <w:uiPriority w:val="99"/>
    <w:rsid w:val="004132A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132A5"/>
    <w:rPr>
      <w:kern w:val="0"/>
      <w:sz w:val="22"/>
      <w:szCs w:val="22"/>
      <w:lang w:val="en-GB"/>
    </w:rPr>
  </w:style>
  <w:style w:type="paragraph" w:styleId="ListParagraph">
    <w:name w:val="List Paragraph"/>
    <w:basedOn w:val="Normal"/>
    <w:uiPriority w:val="99"/>
    <w:qFormat/>
    <w:rsid w:val="004132A5"/>
    <w:pPr>
      <w:ind w:left="720"/>
    </w:pPr>
  </w:style>
  <w:style w:type="paragraph" w:styleId="ListNumber2">
    <w:name w:val="List Number 2"/>
    <w:basedOn w:val="Normal"/>
    <w:uiPriority w:val="99"/>
    <w:rsid w:val="004132A5"/>
    <w:pPr>
      <w:widowControl w:val="0"/>
      <w:numPr>
        <w:numId w:val="14"/>
      </w:numPr>
      <w:tabs>
        <w:tab w:val="clear" w:pos="360"/>
        <w:tab w:val="num" w:pos="643"/>
      </w:tabs>
      <w:spacing w:after="0" w:line="240" w:lineRule="auto"/>
      <w:ind w:left="643"/>
      <w:jc w:val="both"/>
    </w:pPr>
    <w:rPr>
      <w:rFonts w:ascii="Times New Roman" w:hAnsi="Times New Roman" w:cs="Times New Roman"/>
      <w:kern w:val="2"/>
      <w:sz w:val="21"/>
      <w:szCs w:val="21"/>
      <w:lang w:val="en-US"/>
    </w:rPr>
  </w:style>
  <w:style w:type="paragraph" w:styleId="BalloonText">
    <w:name w:val="Balloon Text"/>
    <w:basedOn w:val="Normal"/>
    <w:link w:val="BalloonTextChar"/>
    <w:uiPriority w:val="99"/>
    <w:semiHidden/>
    <w:rsid w:val="0041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32A5"/>
    <w:rPr>
      <w:rFonts w:ascii="Tahoma" w:hAnsi="Tahoma" w:cs="Tahoma"/>
      <w:kern w:val="0"/>
      <w:sz w:val="16"/>
      <w:szCs w:val="16"/>
      <w:lang w:val="en-GB"/>
    </w:rPr>
  </w:style>
  <w:style w:type="character" w:styleId="CommentReference">
    <w:name w:val="annotation reference"/>
    <w:basedOn w:val="DefaultParagraphFont"/>
    <w:uiPriority w:val="99"/>
    <w:semiHidden/>
    <w:rsid w:val="004132A5"/>
    <w:rPr>
      <w:sz w:val="16"/>
      <w:szCs w:val="16"/>
    </w:rPr>
  </w:style>
  <w:style w:type="paragraph" w:styleId="CommentText">
    <w:name w:val="annotation text"/>
    <w:basedOn w:val="Normal"/>
    <w:link w:val="CommentTextChar"/>
    <w:uiPriority w:val="99"/>
    <w:semiHidden/>
    <w:rsid w:val="004132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32A5"/>
    <w:rPr>
      <w:kern w:val="0"/>
      <w:sz w:val="20"/>
      <w:szCs w:val="20"/>
      <w:lang w:val="en-GB"/>
    </w:rPr>
  </w:style>
  <w:style w:type="paragraph" w:styleId="CommentSubject">
    <w:name w:val="annotation subject"/>
    <w:basedOn w:val="CommentText"/>
    <w:next w:val="CommentText"/>
    <w:link w:val="CommentSubjectChar"/>
    <w:uiPriority w:val="99"/>
    <w:semiHidden/>
    <w:rsid w:val="004132A5"/>
    <w:rPr>
      <w:b/>
      <w:bCs/>
    </w:rPr>
  </w:style>
  <w:style w:type="character" w:customStyle="1" w:styleId="CommentSubjectChar">
    <w:name w:val="Comment Subject Char"/>
    <w:basedOn w:val="CommentTextChar"/>
    <w:link w:val="CommentSubject"/>
    <w:uiPriority w:val="99"/>
    <w:semiHidden/>
    <w:locked/>
    <w:rsid w:val="004132A5"/>
    <w:rPr>
      <w:b/>
      <w:bCs/>
      <w:kern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A5"/>
    <w:pPr>
      <w:spacing w:after="200" w:line="276" w:lineRule="auto"/>
    </w:pPr>
    <w:rPr>
      <w:rFonts w:cs="Calibri"/>
      <w:kern w:val="0"/>
      <w:sz w:val="22"/>
      <w:lang w:val="en-GB"/>
    </w:rPr>
  </w:style>
  <w:style w:type="paragraph" w:styleId="Heading1">
    <w:name w:val="heading 1"/>
    <w:basedOn w:val="Normal"/>
    <w:next w:val="Normal"/>
    <w:link w:val="Heading1Char"/>
    <w:uiPriority w:val="99"/>
    <w:qFormat/>
    <w:rsid w:val="004132A5"/>
    <w:pPr>
      <w:keepNext/>
      <w:widowControl w:val="0"/>
      <w:spacing w:before="240" w:after="60" w:line="240" w:lineRule="auto"/>
      <w:jc w:val="both"/>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2A5"/>
    <w:rPr>
      <w:rFonts w:ascii="Arial" w:eastAsia="SimSun" w:hAnsi="Arial" w:cs="Arial"/>
      <w:b/>
      <w:bCs/>
      <w:kern w:val="32"/>
      <w:sz w:val="32"/>
      <w:szCs w:val="32"/>
    </w:rPr>
  </w:style>
  <w:style w:type="paragraph" w:styleId="Header">
    <w:name w:val="header"/>
    <w:basedOn w:val="Normal"/>
    <w:link w:val="HeaderChar"/>
    <w:uiPriority w:val="99"/>
    <w:rsid w:val="004132A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132A5"/>
    <w:rPr>
      <w:kern w:val="0"/>
      <w:sz w:val="22"/>
      <w:szCs w:val="22"/>
      <w:lang w:val="en-GB"/>
    </w:rPr>
  </w:style>
  <w:style w:type="paragraph" w:styleId="Footer">
    <w:name w:val="footer"/>
    <w:basedOn w:val="Normal"/>
    <w:link w:val="FooterChar"/>
    <w:uiPriority w:val="99"/>
    <w:rsid w:val="004132A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132A5"/>
    <w:rPr>
      <w:kern w:val="0"/>
      <w:sz w:val="22"/>
      <w:szCs w:val="22"/>
      <w:lang w:val="en-GB"/>
    </w:rPr>
  </w:style>
  <w:style w:type="paragraph" w:styleId="ListParagraph">
    <w:name w:val="List Paragraph"/>
    <w:basedOn w:val="Normal"/>
    <w:uiPriority w:val="99"/>
    <w:qFormat/>
    <w:rsid w:val="004132A5"/>
    <w:pPr>
      <w:ind w:left="720"/>
    </w:pPr>
  </w:style>
  <w:style w:type="paragraph" w:styleId="ListNumber2">
    <w:name w:val="List Number 2"/>
    <w:basedOn w:val="Normal"/>
    <w:uiPriority w:val="99"/>
    <w:rsid w:val="004132A5"/>
    <w:pPr>
      <w:widowControl w:val="0"/>
      <w:numPr>
        <w:numId w:val="14"/>
      </w:numPr>
      <w:tabs>
        <w:tab w:val="clear" w:pos="360"/>
        <w:tab w:val="num" w:pos="643"/>
      </w:tabs>
      <w:spacing w:after="0" w:line="240" w:lineRule="auto"/>
      <w:ind w:left="643"/>
      <w:jc w:val="both"/>
    </w:pPr>
    <w:rPr>
      <w:rFonts w:ascii="Times New Roman" w:hAnsi="Times New Roman" w:cs="Times New Roman"/>
      <w:kern w:val="2"/>
      <w:sz w:val="21"/>
      <w:szCs w:val="21"/>
      <w:lang w:val="en-US"/>
    </w:rPr>
  </w:style>
  <w:style w:type="paragraph" w:styleId="BalloonText">
    <w:name w:val="Balloon Text"/>
    <w:basedOn w:val="Normal"/>
    <w:link w:val="BalloonTextChar"/>
    <w:uiPriority w:val="99"/>
    <w:semiHidden/>
    <w:rsid w:val="0041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32A5"/>
    <w:rPr>
      <w:rFonts w:ascii="Tahoma" w:hAnsi="Tahoma" w:cs="Tahoma"/>
      <w:kern w:val="0"/>
      <w:sz w:val="16"/>
      <w:szCs w:val="16"/>
      <w:lang w:val="en-GB"/>
    </w:rPr>
  </w:style>
  <w:style w:type="character" w:styleId="CommentReference">
    <w:name w:val="annotation reference"/>
    <w:basedOn w:val="DefaultParagraphFont"/>
    <w:uiPriority w:val="99"/>
    <w:semiHidden/>
    <w:rsid w:val="004132A5"/>
    <w:rPr>
      <w:sz w:val="16"/>
      <w:szCs w:val="16"/>
    </w:rPr>
  </w:style>
  <w:style w:type="paragraph" w:styleId="CommentText">
    <w:name w:val="annotation text"/>
    <w:basedOn w:val="Normal"/>
    <w:link w:val="CommentTextChar"/>
    <w:uiPriority w:val="99"/>
    <w:semiHidden/>
    <w:rsid w:val="004132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32A5"/>
    <w:rPr>
      <w:kern w:val="0"/>
      <w:sz w:val="20"/>
      <w:szCs w:val="20"/>
      <w:lang w:val="en-GB"/>
    </w:rPr>
  </w:style>
  <w:style w:type="paragraph" w:styleId="CommentSubject">
    <w:name w:val="annotation subject"/>
    <w:basedOn w:val="CommentText"/>
    <w:next w:val="CommentText"/>
    <w:link w:val="CommentSubjectChar"/>
    <w:uiPriority w:val="99"/>
    <w:semiHidden/>
    <w:rsid w:val="004132A5"/>
    <w:rPr>
      <w:b/>
      <w:bCs/>
    </w:rPr>
  </w:style>
  <w:style w:type="character" w:customStyle="1" w:styleId="CommentSubjectChar">
    <w:name w:val="Comment Subject Char"/>
    <w:basedOn w:val="CommentTextChar"/>
    <w:link w:val="CommentSubject"/>
    <w:uiPriority w:val="99"/>
    <w:semiHidden/>
    <w:locked/>
    <w:rsid w:val="004132A5"/>
    <w:rPr>
      <w:b/>
      <w:bCs/>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3" ma:contentTypeDescription="Create a new document." ma:contentTypeScope="" ma:versionID="6a07b454ce8ee1576a2f3b4ce27baf01">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0b7fbb1f6397137074e2635dba123144" ns2:_="" ns3:_="">
    <xsd:import namespace="149a938d-5178-4880-bee6-c99a533f2b62"/>
    <xsd:import namespace="70302223-c54b-4550-8ee9-092c6b9c08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387BA-36A4-4197-AFD8-A9636F7B805B}"/>
</file>

<file path=customXml/itemProps2.xml><?xml version="1.0" encoding="utf-8"?>
<ds:datastoreItem xmlns:ds="http://schemas.openxmlformats.org/officeDocument/2006/customXml" ds:itemID="{BF960F60-F337-426A-A8E4-12437ADB13D0}"/>
</file>

<file path=customXml/itemProps3.xml><?xml version="1.0" encoding="utf-8"?>
<ds:datastoreItem xmlns:ds="http://schemas.openxmlformats.org/officeDocument/2006/customXml" ds:itemID="{66F92714-1AB6-45C1-848A-C95C733E6BB9}"/>
</file>

<file path=docProps/app.xml><?xml version="1.0" encoding="utf-8"?>
<Properties xmlns="http://schemas.openxmlformats.org/officeDocument/2006/extended-properties" xmlns:vt="http://schemas.openxmlformats.org/officeDocument/2006/docPropsVTypes">
  <Template>Normal</Template>
  <TotalTime>1</TotalTime>
  <Pages>18</Pages>
  <Words>4382</Words>
  <Characters>24984</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ShineWing Australia Pty Ltd</Company>
  <LinksUpToDate>false</LinksUpToDate>
  <CharactersWithSpaces>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Hanli Li</dc:creator>
  <cp:lastModifiedBy>Kim Quinn</cp:lastModifiedBy>
  <cp:revision>2</cp:revision>
  <dcterms:created xsi:type="dcterms:W3CDTF">2016-08-15T05:33:00Z</dcterms:created>
  <dcterms:modified xsi:type="dcterms:W3CDTF">2016-08-15T05:33:00Z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ies>
</file>